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B35071" w:rsidRDefault="00854980">
      <w:pPr>
        <w:rPr>
          <w:rFonts w:cstheme="minorHAnsi"/>
        </w:rPr>
      </w:pPr>
      <w:bookmarkStart w:id="0" w:name="_Hlk194997782"/>
      <w:bookmarkEnd w:id="0"/>
      <w:r w:rsidRPr="00B35071">
        <w:rPr>
          <w:rFonts w:cstheme="minorHAnsi"/>
        </w:rPr>
        <w:t>Dear Collea</w:t>
      </w:r>
      <w:r w:rsidR="007411FF" w:rsidRPr="00B35071">
        <w:rPr>
          <w:rFonts w:cstheme="minorHAnsi"/>
        </w:rPr>
        <w:t>gues,</w:t>
      </w:r>
    </w:p>
    <w:p w14:paraId="067298F1" w14:textId="012202F4" w:rsidR="00DF2746" w:rsidRPr="00B35071"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r w:rsidRPr="00B35071">
        <w:rPr>
          <w:rFonts w:cstheme="minorHAnsi"/>
        </w:rPr>
        <w:t xml:space="preserve">We are excited to bring you </w:t>
      </w:r>
      <w:r w:rsidR="002C17D1" w:rsidRPr="00B35071">
        <w:rPr>
          <w:rFonts w:cstheme="minorHAnsi"/>
        </w:rPr>
        <w:t>a</w:t>
      </w:r>
      <w:r w:rsidR="00827E01" w:rsidRPr="00B35071">
        <w:rPr>
          <w:rFonts w:cstheme="minorHAnsi"/>
        </w:rPr>
        <w:t xml:space="preserve"> </w:t>
      </w:r>
      <w:r w:rsidR="00CA3775">
        <w:rPr>
          <w:rFonts w:cstheme="minorHAnsi"/>
        </w:rPr>
        <w:t>September</w:t>
      </w:r>
      <w:r w:rsidR="00C82A05" w:rsidRPr="00B35071">
        <w:rPr>
          <w:rFonts w:cstheme="minorHAnsi"/>
        </w:rPr>
        <w:t xml:space="preserve"> </w:t>
      </w:r>
      <w:r w:rsidRPr="00B35071">
        <w:rPr>
          <w:rFonts w:cstheme="minorHAnsi"/>
        </w:rPr>
        <w:t xml:space="preserve">edition of Psychiatric Practice Updates! </w:t>
      </w:r>
      <w:r w:rsidRPr="00B35071">
        <w:rPr>
          <w:rFonts w:eastAsia="Times New Roman" w:cstheme="minorHAnsi"/>
          <w:color w:val="000000"/>
          <w:bdr w:val="none" w:sz="0" w:space="0" w:color="auto" w:frame="1"/>
        </w:rPr>
        <w:t>We conduc</w:t>
      </w:r>
      <w:r w:rsidR="008017D8" w:rsidRPr="00B35071">
        <w:rPr>
          <w:rFonts w:eastAsia="Times New Roman" w:cstheme="minorHAnsi"/>
          <w:color w:val="000000"/>
          <w:bdr w:val="none" w:sz="0" w:space="0" w:color="auto" w:frame="1"/>
        </w:rPr>
        <w:t xml:space="preserve">t </w:t>
      </w:r>
      <w:r w:rsidRPr="00B35071">
        <w:rPr>
          <w:rFonts w:eastAsia="Times New Roman" w:cstheme="minorHAnsi"/>
          <w:color w:val="000000"/>
          <w:bdr w:val="none" w:sz="0" w:space="0" w:color="auto" w:frame="1"/>
        </w:rPr>
        <w:t xml:space="preserve">reviews of over 20 peer-reviewed journals </w:t>
      </w:r>
      <w:r w:rsidR="00DF2746" w:rsidRPr="00B35071">
        <w:rPr>
          <w:rFonts w:eastAsia="Times New Roman" w:cstheme="minorHAnsi"/>
          <w:color w:val="000000"/>
          <w:bdr w:val="none" w:sz="0" w:space="0" w:color="auto" w:frame="1"/>
        </w:rPr>
        <w:t>each month with the goal of selecting</w:t>
      </w:r>
      <w:r w:rsidRPr="00B35071">
        <w:rPr>
          <w:rFonts w:eastAsia="Times New Roman" w:cstheme="minorHAnsi"/>
          <w:color w:val="000000"/>
          <w:bdr w:val="none" w:sz="0" w:space="0" w:color="auto" w:frame="1"/>
        </w:rPr>
        <w:t xml:space="preserve"> articles that are interesting, impactful, and clinically relevant. Through our reviews, we may also highlight </w:t>
      </w:r>
      <w:r w:rsidR="00DF2746" w:rsidRPr="00B35071">
        <w:rPr>
          <w:rFonts w:eastAsia="Times New Roman" w:cstheme="minorHAnsi"/>
          <w:color w:val="000000"/>
          <w:bdr w:val="none" w:sz="0" w:space="0" w:color="auto" w:frame="1"/>
        </w:rPr>
        <w:t>articles that advance</w:t>
      </w:r>
      <w:r w:rsidRPr="00B35071">
        <w:rPr>
          <w:rFonts w:eastAsia="Times New Roman" w:cstheme="minorHAnsi"/>
          <w:color w:val="000000"/>
          <w:bdr w:val="none" w:sz="0" w:space="0" w:color="auto" w:frame="1"/>
        </w:rPr>
        <w:t xml:space="preserve"> our scientific understanding of mental illness or service </w:t>
      </w:r>
      <w:r w:rsidR="000423E0" w:rsidRPr="00B35071">
        <w:rPr>
          <w:rFonts w:eastAsia="Times New Roman" w:cstheme="minorHAnsi"/>
          <w:color w:val="000000"/>
          <w:bdr w:val="none" w:sz="0" w:space="0" w:color="auto" w:frame="1"/>
        </w:rPr>
        <w:t xml:space="preserve">delivery. </w:t>
      </w:r>
    </w:p>
    <w:p w14:paraId="7562195C" w14:textId="77777777" w:rsidR="00854980" w:rsidRPr="00B35071"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p>
    <w:p w14:paraId="4F73C705" w14:textId="3E8ADAD5" w:rsidR="00854980" w:rsidRPr="00B35071" w:rsidRDefault="000423E0" w:rsidP="00854980">
      <w:pPr>
        <w:shd w:val="clear" w:color="auto" w:fill="FFFFFF"/>
        <w:spacing w:after="0" w:line="254" w:lineRule="atLeast"/>
        <w:textAlignment w:val="baseline"/>
        <w:rPr>
          <w:rFonts w:eastAsia="Times New Roman" w:cstheme="minorHAnsi"/>
          <w:color w:val="201F1E"/>
        </w:rPr>
      </w:pPr>
      <w:r w:rsidRPr="00B35071">
        <w:rPr>
          <w:rFonts w:eastAsia="Times New Roman" w:cstheme="minorHAnsi"/>
          <w:color w:val="000000"/>
          <w:bdr w:val="none" w:sz="0" w:space="0" w:color="auto" w:frame="1"/>
        </w:rPr>
        <w:t xml:space="preserve">We have provided a </w:t>
      </w:r>
      <w:r w:rsidR="00854980" w:rsidRPr="00B35071">
        <w:rPr>
          <w:rFonts w:eastAsia="Times New Roman" w:cstheme="minorHAnsi"/>
          <w:color w:val="000000"/>
          <w:bdr w:val="none" w:sz="0" w:space="0" w:color="auto" w:frame="1"/>
        </w:rPr>
        <w:t>list of</w:t>
      </w:r>
      <w:r w:rsidR="00DF2746" w:rsidRPr="00B35071">
        <w:rPr>
          <w:rFonts w:eastAsia="Times New Roman" w:cstheme="minorHAnsi"/>
          <w:color w:val="000000"/>
          <w:bdr w:val="none" w:sz="0" w:space="0" w:color="auto" w:frame="1"/>
        </w:rPr>
        <w:t xml:space="preserve"> articles that we</w:t>
      </w:r>
      <w:r w:rsidR="00854980" w:rsidRPr="00B35071">
        <w:rPr>
          <w:rFonts w:eastAsia="Times New Roman" w:cstheme="minorHAnsi"/>
          <w:color w:val="000000"/>
          <w:bdr w:val="none" w:sz="0" w:space="0" w:color="auto" w:frame="1"/>
        </w:rPr>
        <w:t xml:space="preserve"> </w:t>
      </w:r>
      <w:r w:rsidR="00DF2746" w:rsidRPr="00B35071">
        <w:rPr>
          <w:rFonts w:eastAsia="Times New Roman" w:cstheme="minorHAnsi"/>
          <w:color w:val="000000"/>
          <w:bdr w:val="none" w:sz="0" w:space="0" w:color="auto" w:frame="1"/>
        </w:rPr>
        <w:t xml:space="preserve">selected from our </w:t>
      </w:r>
      <w:r w:rsidRPr="00B35071">
        <w:rPr>
          <w:rFonts w:eastAsia="Times New Roman" w:cstheme="minorHAnsi"/>
          <w:color w:val="000000"/>
          <w:bdr w:val="none" w:sz="0" w:space="0" w:color="auto" w:frame="1"/>
        </w:rPr>
        <w:t xml:space="preserve">reviews, followed by the abstracts and </w:t>
      </w:r>
      <w:proofErr w:type="spellStart"/>
      <w:r w:rsidRPr="00B35071">
        <w:rPr>
          <w:rFonts w:eastAsia="Times New Roman" w:cstheme="minorHAnsi"/>
          <w:color w:val="000000"/>
          <w:bdr w:val="none" w:sz="0" w:space="0" w:color="auto" w:frame="1"/>
        </w:rPr>
        <w:t>pubmed</w:t>
      </w:r>
      <w:proofErr w:type="spellEnd"/>
      <w:r w:rsidRPr="00B35071">
        <w:rPr>
          <w:rFonts w:eastAsia="Times New Roman" w:cstheme="minorHAnsi"/>
          <w:color w:val="000000"/>
          <w:bdr w:val="none" w:sz="0" w:space="0" w:color="auto" w:frame="1"/>
        </w:rPr>
        <w:t xml:space="preserve"> links. Clicking in the table of contents will take you to that section of the document. </w:t>
      </w:r>
      <w:r w:rsidR="00854980" w:rsidRPr="00B35071">
        <w:rPr>
          <w:rFonts w:eastAsia="Times New Roman" w:cstheme="minorHAnsi"/>
          <w:color w:val="000000"/>
          <w:bdr w:val="none" w:sz="0" w:space="0" w:color="auto" w:frame="1"/>
        </w:rPr>
        <w:t xml:space="preserve"> Feel free to share and disseminate.</w:t>
      </w:r>
    </w:p>
    <w:p w14:paraId="27A6FA89" w14:textId="77777777" w:rsidR="00854980" w:rsidRPr="00B35071" w:rsidRDefault="00854980" w:rsidP="00854980">
      <w:pPr>
        <w:shd w:val="clear" w:color="auto" w:fill="FFFFFF"/>
        <w:spacing w:after="0" w:line="240" w:lineRule="auto"/>
        <w:textAlignment w:val="baseline"/>
        <w:rPr>
          <w:rFonts w:eastAsia="Times New Roman" w:cstheme="minorHAnsi"/>
          <w:color w:val="000000"/>
        </w:rPr>
      </w:pPr>
    </w:p>
    <w:p w14:paraId="4BE62CF1" w14:textId="77777777" w:rsidR="00854980" w:rsidRPr="00B35071" w:rsidRDefault="00DF2746" w:rsidP="00DF2746">
      <w:pPr>
        <w:shd w:val="clear" w:color="auto" w:fill="FFFFFF"/>
        <w:spacing w:after="0" w:line="240" w:lineRule="auto"/>
        <w:textAlignment w:val="baseline"/>
        <w:rPr>
          <w:rFonts w:eastAsia="Times New Roman" w:cstheme="minorHAnsi"/>
          <w:color w:val="000000"/>
          <w:bdr w:val="none" w:sz="0" w:space="0" w:color="auto" w:frame="1"/>
        </w:rPr>
      </w:pPr>
      <w:r w:rsidRPr="00B35071">
        <w:rPr>
          <w:rFonts w:eastAsia="Times New Roman" w:cstheme="minorHAnsi"/>
          <w:color w:val="000000"/>
          <w:bdr w:val="none" w:sz="0" w:space="0" w:color="auto" w:frame="1"/>
        </w:rPr>
        <w:t xml:space="preserve">If you would like to receive the monthly Psychiatric Practice Updates email, please send an email with SUBSCRIBE in the subject to </w:t>
      </w:r>
      <w:hyperlink r:id="rId8" w:history="1">
        <w:r w:rsidRPr="00B35071">
          <w:rPr>
            <w:rStyle w:val="Hyperlink"/>
            <w:rFonts w:eastAsia="Times New Roman" w:cstheme="minorHAnsi"/>
            <w:bdr w:val="none" w:sz="0" w:space="0" w:color="auto" w:frame="1"/>
          </w:rPr>
          <w:t>PsychiatricPracticeUpdates@gmail.com</w:t>
        </w:r>
      </w:hyperlink>
    </w:p>
    <w:p w14:paraId="5856E4DA"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p>
    <w:p w14:paraId="18966E18"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r w:rsidRPr="00B35071">
        <w:rPr>
          <w:rFonts w:eastAsia="Times New Roman" w:cstheme="minorHAnsi"/>
          <w:color w:val="000000"/>
        </w:rPr>
        <w:t>Happy learning!</w:t>
      </w:r>
    </w:p>
    <w:p w14:paraId="5E0A3B99"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p>
    <w:p w14:paraId="33DB09C1" w14:textId="455FB236" w:rsidR="00DF2746" w:rsidRPr="00B35071" w:rsidRDefault="00DF2746" w:rsidP="00DF2746">
      <w:pPr>
        <w:shd w:val="clear" w:color="auto" w:fill="FFFFFF"/>
        <w:spacing w:after="0" w:line="240" w:lineRule="auto"/>
        <w:textAlignment w:val="baseline"/>
        <w:rPr>
          <w:rFonts w:eastAsia="Times New Roman" w:cstheme="minorHAnsi"/>
          <w:b/>
          <w:color w:val="000000"/>
        </w:rPr>
      </w:pPr>
      <w:r w:rsidRPr="00B35071">
        <w:rPr>
          <w:rFonts w:eastAsia="Times New Roman" w:cstheme="minorHAnsi"/>
          <w:b/>
          <w:color w:val="000000"/>
        </w:rPr>
        <w:t>The Psychiatric Practice Updates Committee</w:t>
      </w:r>
    </w:p>
    <w:p w14:paraId="751204BB"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p>
    <w:p w14:paraId="4F4C6F0C" w14:textId="77777777" w:rsidR="00DF2746" w:rsidRPr="00B35071" w:rsidRDefault="00DF2746" w:rsidP="00DF2746">
      <w:pPr>
        <w:rPr>
          <w:rFonts w:cstheme="minorHAnsi"/>
          <w:u w:val="single"/>
        </w:rPr>
      </w:pPr>
      <w:r w:rsidRPr="00B35071">
        <w:rPr>
          <w:rFonts w:cstheme="minorHAnsi"/>
          <w:u w:val="single"/>
        </w:rPr>
        <w:t>Chairs:</w:t>
      </w:r>
    </w:p>
    <w:p w14:paraId="424CF59A" w14:textId="77777777" w:rsidR="00DF2746" w:rsidRPr="00B35071" w:rsidRDefault="00DF2746" w:rsidP="00DF2746">
      <w:pPr>
        <w:rPr>
          <w:rFonts w:cstheme="minorHAnsi"/>
        </w:rPr>
      </w:pPr>
      <w:r w:rsidRPr="00B35071">
        <w:rPr>
          <w:rFonts w:cstheme="minorHAnsi"/>
        </w:rPr>
        <w:t>Katrina DeBonis, MD</w:t>
      </w:r>
    </w:p>
    <w:p w14:paraId="1D76F169" w14:textId="77777777" w:rsidR="00DF2746" w:rsidRPr="00B35071" w:rsidRDefault="00DF2746" w:rsidP="00DF2746">
      <w:pPr>
        <w:rPr>
          <w:rFonts w:cstheme="minorHAnsi"/>
        </w:rPr>
      </w:pPr>
      <w:r w:rsidRPr="00B35071">
        <w:rPr>
          <w:rFonts w:cstheme="minorHAnsi"/>
        </w:rPr>
        <w:t xml:space="preserve">Jane Eisen, MD </w:t>
      </w:r>
    </w:p>
    <w:p w14:paraId="77180229" w14:textId="77777777" w:rsidR="00DF2746" w:rsidRPr="00B35071" w:rsidRDefault="00DF2746" w:rsidP="00DF2746">
      <w:pPr>
        <w:rPr>
          <w:rFonts w:cstheme="minorHAnsi"/>
          <w:u w:val="single"/>
        </w:rPr>
      </w:pPr>
      <w:r w:rsidRPr="00B35071">
        <w:rPr>
          <w:rFonts w:cstheme="minorHAnsi"/>
          <w:u w:val="single"/>
        </w:rPr>
        <w:t>Committee Members:</w:t>
      </w:r>
    </w:p>
    <w:p w14:paraId="02D620FF" w14:textId="48BCC874" w:rsidR="00644819" w:rsidRPr="00B35071" w:rsidRDefault="00644819" w:rsidP="00DF2746">
      <w:pPr>
        <w:rPr>
          <w:rFonts w:cstheme="minorHAnsi"/>
        </w:rPr>
      </w:pPr>
      <w:r w:rsidRPr="00B35071">
        <w:rPr>
          <w:rFonts w:cstheme="minorHAnsi"/>
        </w:rPr>
        <w:t>David Fogelson, MD</w:t>
      </w:r>
    </w:p>
    <w:p w14:paraId="6F17E7DC" w14:textId="0907946F" w:rsidR="00DF2746" w:rsidRPr="00B35071" w:rsidRDefault="00DF2746" w:rsidP="00DF2746">
      <w:pPr>
        <w:rPr>
          <w:rFonts w:cstheme="minorHAnsi"/>
        </w:rPr>
      </w:pPr>
      <w:r w:rsidRPr="00B35071">
        <w:rPr>
          <w:rFonts w:cstheme="minorHAnsi"/>
        </w:rPr>
        <w:t>Michael Fiori, MD</w:t>
      </w:r>
    </w:p>
    <w:p w14:paraId="0326E4A0" w14:textId="77777777" w:rsidR="00DF2746" w:rsidRPr="00B35071" w:rsidRDefault="00DF2746" w:rsidP="00DF2746">
      <w:pPr>
        <w:rPr>
          <w:rFonts w:cstheme="minorHAnsi"/>
        </w:rPr>
      </w:pPr>
      <w:r w:rsidRPr="00B35071">
        <w:rPr>
          <w:rFonts w:cstheme="minorHAnsi"/>
        </w:rPr>
        <w:t>Michael Gitlin, MD</w:t>
      </w:r>
    </w:p>
    <w:p w14:paraId="061D91CA" w14:textId="77777777" w:rsidR="00DF2746" w:rsidRPr="00B35071" w:rsidRDefault="00DF2746" w:rsidP="00DF2746">
      <w:pPr>
        <w:rPr>
          <w:rFonts w:cstheme="minorHAnsi"/>
        </w:rPr>
      </w:pPr>
      <w:r w:rsidRPr="00B35071">
        <w:rPr>
          <w:rFonts w:cstheme="minorHAnsi"/>
        </w:rPr>
        <w:t>Raphaela Gold, MD, MSc</w:t>
      </w:r>
    </w:p>
    <w:p w14:paraId="6AF522FF" w14:textId="020DB01D" w:rsidR="00FC0F56" w:rsidRPr="00B35071" w:rsidRDefault="00FC0F56" w:rsidP="00DF2746">
      <w:pPr>
        <w:rPr>
          <w:rFonts w:cstheme="minorHAnsi"/>
        </w:rPr>
      </w:pPr>
      <w:r w:rsidRPr="00B35071">
        <w:rPr>
          <w:rFonts w:cstheme="minorHAnsi"/>
        </w:rPr>
        <w:t>Kevin Kennedy, MD</w:t>
      </w:r>
    </w:p>
    <w:p w14:paraId="376EA6B0" w14:textId="77777777" w:rsidR="00DF2746" w:rsidRPr="00B35071" w:rsidRDefault="00DF2746" w:rsidP="00DF2746">
      <w:pPr>
        <w:rPr>
          <w:rFonts w:cstheme="minorHAnsi"/>
        </w:rPr>
      </w:pPr>
      <w:r w:rsidRPr="00B35071">
        <w:rPr>
          <w:rFonts w:cstheme="minorHAnsi"/>
        </w:rPr>
        <w:t>Stephen Marder, MD</w:t>
      </w:r>
    </w:p>
    <w:p w14:paraId="2AFD702B" w14:textId="77777777" w:rsidR="00DF2746" w:rsidRPr="00B35071" w:rsidRDefault="00DF2746" w:rsidP="000423E0">
      <w:pPr>
        <w:rPr>
          <w:rFonts w:cstheme="minorHAnsi"/>
        </w:rPr>
      </w:pPr>
      <w:r w:rsidRPr="00B35071">
        <w:rPr>
          <w:rFonts w:cstheme="minorHAnsi"/>
        </w:rPr>
        <w:t>Collin Price, MD</w:t>
      </w:r>
    </w:p>
    <w:p w14:paraId="4BD7344B" w14:textId="77777777" w:rsidR="00E070C5" w:rsidRPr="00B35071" w:rsidRDefault="00E070C5" w:rsidP="000423E0">
      <w:pPr>
        <w:rPr>
          <w:rFonts w:cstheme="minorHAnsi"/>
        </w:rPr>
      </w:pPr>
    </w:p>
    <w:p w14:paraId="62989C61" w14:textId="77777777" w:rsidR="00960961" w:rsidRPr="00B35071" w:rsidRDefault="00960961" w:rsidP="000423E0">
      <w:pPr>
        <w:rPr>
          <w:rFonts w:cstheme="minorHAnsi"/>
        </w:rPr>
      </w:pPr>
    </w:p>
    <w:p w14:paraId="4150F8C0" w14:textId="77777777" w:rsidR="00E070C5" w:rsidRPr="00B35071" w:rsidRDefault="00E070C5" w:rsidP="000423E0">
      <w:pPr>
        <w:rPr>
          <w:rFonts w:cstheme="minorHAnsi"/>
        </w:rPr>
      </w:pPr>
    </w:p>
    <w:p w14:paraId="689C281C" w14:textId="77777777" w:rsidR="00D039A8" w:rsidRPr="00B35071" w:rsidRDefault="00D039A8" w:rsidP="000423E0">
      <w:pPr>
        <w:rPr>
          <w:rFonts w:cstheme="minorHAnsi"/>
        </w:rPr>
      </w:pPr>
    </w:p>
    <w:p w14:paraId="3D5ABB0E" w14:textId="77777777" w:rsidR="00D039A8" w:rsidRPr="00B35071" w:rsidRDefault="00D039A8" w:rsidP="000423E0">
      <w:pPr>
        <w:rPr>
          <w:rFonts w:cstheme="minorHAnsi"/>
        </w:rPr>
      </w:pPr>
    </w:p>
    <w:p w14:paraId="3E59CFF7" w14:textId="77777777" w:rsidR="00E070C5" w:rsidRPr="00B35071" w:rsidRDefault="00E070C5" w:rsidP="000423E0">
      <w:pPr>
        <w:rPr>
          <w:rFonts w:cstheme="minorHAnsi"/>
        </w:rPr>
      </w:pPr>
    </w:p>
    <w:p w14:paraId="6C70F98A" w14:textId="77777777" w:rsidR="000004DE" w:rsidRPr="00B35071" w:rsidRDefault="000004DE" w:rsidP="000423E0">
      <w:pPr>
        <w:rPr>
          <w:rFonts w:cstheme="minorHAnsi"/>
        </w:rPr>
      </w:pPr>
    </w:p>
    <w:sdt>
      <w:sdtPr>
        <w:rPr>
          <w:rFonts w:eastAsiaTheme="minorHAnsi" w:cstheme="minorHAnsi"/>
          <w:caps w:val="0"/>
          <w:color w:val="auto"/>
          <w:spacing w:val="0"/>
        </w:rPr>
        <w:id w:val="-703247796"/>
        <w:docPartObj>
          <w:docPartGallery w:val="Table of Contents"/>
          <w:docPartUnique/>
        </w:docPartObj>
      </w:sdtPr>
      <w:sdtEndPr>
        <w:rPr>
          <w:noProof/>
        </w:rPr>
      </w:sdtEndPr>
      <w:sdtContent>
        <w:p w14:paraId="362CE660" w14:textId="52098D42" w:rsidR="00DF2746" w:rsidRPr="00B35071" w:rsidRDefault="00DF2746" w:rsidP="002C17D1">
          <w:pPr>
            <w:pStyle w:val="TOCHeading"/>
            <w:rPr>
              <w:rFonts w:eastAsiaTheme="minorHAnsi" w:cstheme="minorHAnsi"/>
              <w:color w:val="auto"/>
            </w:rPr>
          </w:pPr>
          <w:r w:rsidRPr="00B35071">
            <w:rPr>
              <w:rFonts w:cstheme="minorHAnsi"/>
            </w:rPr>
            <w:t>Psychiatric Practice Updates –</w:t>
          </w:r>
          <w:r w:rsidR="009C0BEE" w:rsidRPr="00B35071">
            <w:rPr>
              <w:rFonts w:cstheme="minorHAnsi"/>
            </w:rPr>
            <w:t xml:space="preserve"> </w:t>
          </w:r>
          <w:r w:rsidR="00CA3775">
            <w:rPr>
              <w:rFonts w:cstheme="minorHAnsi"/>
            </w:rPr>
            <w:t>september</w:t>
          </w:r>
        </w:p>
        <w:p w14:paraId="6546A9DE" w14:textId="600FA72F" w:rsidR="006F702B" w:rsidRDefault="00DF2746">
          <w:pPr>
            <w:pStyle w:val="TOC1"/>
            <w:tabs>
              <w:tab w:val="right" w:leader="dot" w:pos="9350"/>
            </w:tabs>
            <w:rPr>
              <w:noProof/>
              <w:kern w:val="2"/>
              <w:sz w:val="24"/>
              <w:szCs w:val="24"/>
              <w14:ligatures w14:val="standardContextual"/>
            </w:rPr>
          </w:pPr>
          <w:r w:rsidRPr="00B35071">
            <w:rPr>
              <w:rFonts w:cstheme="minorHAnsi"/>
              <w:sz w:val="22"/>
              <w:szCs w:val="22"/>
            </w:rPr>
            <w:fldChar w:fldCharType="begin"/>
          </w:r>
          <w:r w:rsidRPr="00B35071">
            <w:rPr>
              <w:rFonts w:cstheme="minorHAnsi"/>
              <w:sz w:val="22"/>
              <w:szCs w:val="22"/>
            </w:rPr>
            <w:instrText xml:space="preserve"> TOC \o "1-3" \h \z \u </w:instrText>
          </w:r>
          <w:r w:rsidRPr="00B35071">
            <w:rPr>
              <w:rFonts w:cstheme="minorHAnsi"/>
              <w:sz w:val="22"/>
              <w:szCs w:val="22"/>
            </w:rPr>
            <w:fldChar w:fldCharType="separate"/>
          </w:r>
          <w:hyperlink w:anchor="_Toc211325126" w:history="1">
            <w:r w:rsidR="006F702B" w:rsidRPr="008159FD">
              <w:rPr>
                <w:rStyle w:val="Hyperlink"/>
                <w:rFonts w:ascii="Merriweather" w:hAnsi="Merriweather"/>
                <w:noProof/>
              </w:rPr>
              <w:t>Testing Bidirectional Associations Between Maternal and Child Depression During Emerging Adolescence</w:t>
            </w:r>
            <w:r w:rsidR="006F702B">
              <w:rPr>
                <w:noProof/>
                <w:webHidden/>
              </w:rPr>
              <w:tab/>
            </w:r>
            <w:r w:rsidR="006F702B">
              <w:rPr>
                <w:noProof/>
                <w:webHidden/>
              </w:rPr>
              <w:fldChar w:fldCharType="begin"/>
            </w:r>
            <w:r w:rsidR="006F702B">
              <w:rPr>
                <w:noProof/>
                <w:webHidden/>
              </w:rPr>
              <w:instrText xml:space="preserve"> PAGEREF _Toc211325126 \h </w:instrText>
            </w:r>
            <w:r w:rsidR="006F702B">
              <w:rPr>
                <w:noProof/>
                <w:webHidden/>
              </w:rPr>
            </w:r>
            <w:r w:rsidR="006F702B">
              <w:rPr>
                <w:noProof/>
                <w:webHidden/>
              </w:rPr>
              <w:fldChar w:fldCharType="separate"/>
            </w:r>
            <w:r w:rsidR="006F702B">
              <w:rPr>
                <w:noProof/>
                <w:webHidden/>
              </w:rPr>
              <w:t>3</w:t>
            </w:r>
            <w:r w:rsidR="006F702B">
              <w:rPr>
                <w:noProof/>
                <w:webHidden/>
              </w:rPr>
              <w:fldChar w:fldCharType="end"/>
            </w:r>
          </w:hyperlink>
        </w:p>
        <w:p w14:paraId="62EFA940" w14:textId="7BAB3516" w:rsidR="006F702B" w:rsidRDefault="006F702B">
          <w:pPr>
            <w:pStyle w:val="TOC1"/>
            <w:tabs>
              <w:tab w:val="right" w:leader="dot" w:pos="9350"/>
            </w:tabs>
            <w:rPr>
              <w:noProof/>
              <w:kern w:val="2"/>
              <w:sz w:val="24"/>
              <w:szCs w:val="24"/>
              <w14:ligatures w14:val="standardContextual"/>
            </w:rPr>
          </w:pPr>
          <w:hyperlink w:anchor="_Toc211325127" w:history="1">
            <w:r w:rsidRPr="008159FD">
              <w:rPr>
                <w:rStyle w:val="Hyperlink"/>
                <w:rFonts w:ascii="Merriweather" w:hAnsi="Merriweather"/>
                <w:noProof/>
              </w:rPr>
              <w:t>Association Between Consumption of Low- and No-Calorie Artificial Sweeteners and Cognitive Decline: An 8-Year Prospective Study</w:t>
            </w:r>
            <w:r>
              <w:rPr>
                <w:noProof/>
                <w:webHidden/>
              </w:rPr>
              <w:tab/>
            </w:r>
            <w:r>
              <w:rPr>
                <w:noProof/>
                <w:webHidden/>
              </w:rPr>
              <w:fldChar w:fldCharType="begin"/>
            </w:r>
            <w:r>
              <w:rPr>
                <w:noProof/>
                <w:webHidden/>
              </w:rPr>
              <w:instrText xml:space="preserve"> PAGEREF _Toc211325127 \h </w:instrText>
            </w:r>
            <w:r>
              <w:rPr>
                <w:noProof/>
                <w:webHidden/>
              </w:rPr>
            </w:r>
            <w:r>
              <w:rPr>
                <w:noProof/>
                <w:webHidden/>
              </w:rPr>
              <w:fldChar w:fldCharType="separate"/>
            </w:r>
            <w:r>
              <w:rPr>
                <w:noProof/>
                <w:webHidden/>
              </w:rPr>
              <w:t>4</w:t>
            </w:r>
            <w:r>
              <w:rPr>
                <w:noProof/>
                <w:webHidden/>
              </w:rPr>
              <w:fldChar w:fldCharType="end"/>
            </w:r>
          </w:hyperlink>
        </w:p>
        <w:p w14:paraId="1F3CE2E7" w14:textId="655CCE57" w:rsidR="006F702B" w:rsidRDefault="006F702B">
          <w:pPr>
            <w:pStyle w:val="TOC1"/>
            <w:tabs>
              <w:tab w:val="right" w:leader="dot" w:pos="9350"/>
            </w:tabs>
            <w:rPr>
              <w:noProof/>
              <w:kern w:val="2"/>
              <w:sz w:val="24"/>
              <w:szCs w:val="24"/>
              <w14:ligatures w14:val="standardContextual"/>
            </w:rPr>
          </w:pPr>
          <w:hyperlink w:anchor="_Toc211325128" w:history="1">
            <w:r w:rsidRPr="008159FD">
              <w:rPr>
                <w:rStyle w:val="Hyperlink"/>
                <w:rFonts w:ascii="Merriweather" w:hAnsi="Merriweather"/>
                <w:noProof/>
              </w:rPr>
              <w:t>Clinical management of major depressive disorder with comorbid obesity</w:t>
            </w:r>
            <w:r>
              <w:rPr>
                <w:noProof/>
                <w:webHidden/>
              </w:rPr>
              <w:tab/>
            </w:r>
            <w:r>
              <w:rPr>
                <w:noProof/>
                <w:webHidden/>
              </w:rPr>
              <w:fldChar w:fldCharType="begin"/>
            </w:r>
            <w:r>
              <w:rPr>
                <w:noProof/>
                <w:webHidden/>
              </w:rPr>
              <w:instrText xml:space="preserve"> PAGEREF _Toc211325128 \h </w:instrText>
            </w:r>
            <w:r>
              <w:rPr>
                <w:noProof/>
                <w:webHidden/>
              </w:rPr>
            </w:r>
            <w:r>
              <w:rPr>
                <w:noProof/>
                <w:webHidden/>
              </w:rPr>
              <w:fldChar w:fldCharType="separate"/>
            </w:r>
            <w:r>
              <w:rPr>
                <w:noProof/>
                <w:webHidden/>
              </w:rPr>
              <w:t>5</w:t>
            </w:r>
            <w:r>
              <w:rPr>
                <w:noProof/>
                <w:webHidden/>
              </w:rPr>
              <w:fldChar w:fldCharType="end"/>
            </w:r>
          </w:hyperlink>
        </w:p>
        <w:p w14:paraId="7DD98BE9" w14:textId="1B192ED3" w:rsidR="006F702B" w:rsidRDefault="006F702B">
          <w:pPr>
            <w:pStyle w:val="TOC1"/>
            <w:tabs>
              <w:tab w:val="right" w:leader="dot" w:pos="9350"/>
            </w:tabs>
            <w:rPr>
              <w:noProof/>
              <w:kern w:val="2"/>
              <w:sz w:val="24"/>
              <w:szCs w:val="24"/>
              <w14:ligatures w14:val="standardContextual"/>
            </w:rPr>
          </w:pPr>
          <w:hyperlink w:anchor="_Toc211325129" w:history="1">
            <w:r w:rsidRPr="008159FD">
              <w:rPr>
                <w:rStyle w:val="Hyperlink"/>
                <w:rFonts w:ascii="Merriweather" w:hAnsi="Merriweather"/>
                <w:noProof/>
              </w:rPr>
              <w:t>Reduced Brain Iron and Striatal Hyperdopaminergia in Schizophrenia: A Quantitative Susceptibility Mapping MRI and PET Study</w:t>
            </w:r>
            <w:r>
              <w:rPr>
                <w:noProof/>
                <w:webHidden/>
              </w:rPr>
              <w:tab/>
            </w:r>
            <w:r>
              <w:rPr>
                <w:noProof/>
                <w:webHidden/>
              </w:rPr>
              <w:fldChar w:fldCharType="begin"/>
            </w:r>
            <w:r>
              <w:rPr>
                <w:noProof/>
                <w:webHidden/>
              </w:rPr>
              <w:instrText xml:space="preserve"> PAGEREF _Toc211325129 \h </w:instrText>
            </w:r>
            <w:r>
              <w:rPr>
                <w:noProof/>
                <w:webHidden/>
              </w:rPr>
            </w:r>
            <w:r>
              <w:rPr>
                <w:noProof/>
                <w:webHidden/>
              </w:rPr>
              <w:fldChar w:fldCharType="separate"/>
            </w:r>
            <w:r>
              <w:rPr>
                <w:noProof/>
                <w:webHidden/>
              </w:rPr>
              <w:t>6</w:t>
            </w:r>
            <w:r>
              <w:rPr>
                <w:noProof/>
                <w:webHidden/>
              </w:rPr>
              <w:fldChar w:fldCharType="end"/>
            </w:r>
          </w:hyperlink>
        </w:p>
        <w:p w14:paraId="1DD95B3D" w14:textId="405191CC" w:rsidR="006F702B" w:rsidRDefault="006F702B">
          <w:pPr>
            <w:pStyle w:val="TOC1"/>
            <w:tabs>
              <w:tab w:val="right" w:leader="dot" w:pos="9350"/>
            </w:tabs>
            <w:rPr>
              <w:noProof/>
              <w:kern w:val="2"/>
              <w:sz w:val="24"/>
              <w:szCs w:val="24"/>
              <w14:ligatures w14:val="standardContextual"/>
            </w:rPr>
          </w:pPr>
          <w:hyperlink w:anchor="_Toc211325130" w:history="1">
            <w:r w:rsidRPr="008159FD">
              <w:rPr>
                <w:rStyle w:val="Hyperlink"/>
                <w:rFonts w:ascii="Merriweather" w:hAnsi="Merriweather"/>
                <w:noProof/>
              </w:rPr>
              <w:t>Neighborhood Social Vulnerability and Racial Disparities in Schizophrenia Spectrum Disorder Prevalence</w:t>
            </w:r>
            <w:r>
              <w:rPr>
                <w:noProof/>
                <w:webHidden/>
              </w:rPr>
              <w:tab/>
            </w:r>
            <w:r>
              <w:rPr>
                <w:noProof/>
                <w:webHidden/>
              </w:rPr>
              <w:fldChar w:fldCharType="begin"/>
            </w:r>
            <w:r>
              <w:rPr>
                <w:noProof/>
                <w:webHidden/>
              </w:rPr>
              <w:instrText xml:space="preserve"> PAGEREF _Toc211325130 \h </w:instrText>
            </w:r>
            <w:r>
              <w:rPr>
                <w:noProof/>
                <w:webHidden/>
              </w:rPr>
            </w:r>
            <w:r>
              <w:rPr>
                <w:noProof/>
                <w:webHidden/>
              </w:rPr>
              <w:fldChar w:fldCharType="separate"/>
            </w:r>
            <w:r>
              <w:rPr>
                <w:noProof/>
                <w:webHidden/>
              </w:rPr>
              <w:t>7</w:t>
            </w:r>
            <w:r>
              <w:rPr>
                <w:noProof/>
                <w:webHidden/>
              </w:rPr>
              <w:fldChar w:fldCharType="end"/>
            </w:r>
          </w:hyperlink>
        </w:p>
        <w:p w14:paraId="368DF4B9" w14:textId="5016D4CC" w:rsidR="006F702B" w:rsidRDefault="006F702B">
          <w:pPr>
            <w:pStyle w:val="TOC1"/>
            <w:tabs>
              <w:tab w:val="right" w:leader="dot" w:pos="9350"/>
            </w:tabs>
            <w:rPr>
              <w:noProof/>
              <w:kern w:val="2"/>
              <w:sz w:val="24"/>
              <w:szCs w:val="24"/>
              <w14:ligatures w14:val="standardContextual"/>
            </w:rPr>
          </w:pPr>
          <w:hyperlink w:anchor="_Toc211325131" w:history="1">
            <w:r w:rsidRPr="008159FD">
              <w:rPr>
                <w:rStyle w:val="Hyperlink"/>
                <w:rFonts w:ascii="Merriweather" w:hAnsi="Merriweather"/>
                <w:noProof/>
              </w:rPr>
              <w:t>Incidence and Nature of Antidepressant Discontinuation Symptoms: A Systematic Review and Meta-Analysis</w:t>
            </w:r>
            <w:r>
              <w:rPr>
                <w:noProof/>
                <w:webHidden/>
              </w:rPr>
              <w:tab/>
            </w:r>
            <w:r>
              <w:rPr>
                <w:noProof/>
                <w:webHidden/>
              </w:rPr>
              <w:fldChar w:fldCharType="begin"/>
            </w:r>
            <w:r>
              <w:rPr>
                <w:noProof/>
                <w:webHidden/>
              </w:rPr>
              <w:instrText xml:space="preserve"> PAGEREF _Toc211325131 \h </w:instrText>
            </w:r>
            <w:r>
              <w:rPr>
                <w:noProof/>
                <w:webHidden/>
              </w:rPr>
            </w:r>
            <w:r>
              <w:rPr>
                <w:noProof/>
                <w:webHidden/>
              </w:rPr>
              <w:fldChar w:fldCharType="separate"/>
            </w:r>
            <w:r>
              <w:rPr>
                <w:noProof/>
                <w:webHidden/>
              </w:rPr>
              <w:t>8</w:t>
            </w:r>
            <w:r>
              <w:rPr>
                <w:noProof/>
                <w:webHidden/>
              </w:rPr>
              <w:fldChar w:fldCharType="end"/>
            </w:r>
          </w:hyperlink>
        </w:p>
        <w:p w14:paraId="7EF23492" w14:textId="55DBFCD8" w:rsidR="006F702B" w:rsidRDefault="006F702B">
          <w:pPr>
            <w:pStyle w:val="TOC1"/>
            <w:tabs>
              <w:tab w:val="right" w:leader="dot" w:pos="9350"/>
            </w:tabs>
            <w:rPr>
              <w:noProof/>
              <w:kern w:val="2"/>
              <w:sz w:val="24"/>
              <w:szCs w:val="24"/>
              <w14:ligatures w14:val="standardContextual"/>
            </w:rPr>
          </w:pPr>
          <w:hyperlink w:anchor="_Toc211325132" w:history="1">
            <w:r w:rsidRPr="008159FD">
              <w:rPr>
                <w:rStyle w:val="Hyperlink"/>
                <w:rFonts w:ascii="Merriweather" w:hAnsi="Merriweather"/>
                <w:noProof/>
              </w:rPr>
              <w:t>Inflammatory Exposure and Depression in Older Adults With Insomnia: A Randomized Clinical Trial</w:t>
            </w:r>
            <w:r>
              <w:rPr>
                <w:noProof/>
                <w:webHidden/>
              </w:rPr>
              <w:tab/>
            </w:r>
            <w:r>
              <w:rPr>
                <w:noProof/>
                <w:webHidden/>
              </w:rPr>
              <w:fldChar w:fldCharType="begin"/>
            </w:r>
            <w:r>
              <w:rPr>
                <w:noProof/>
                <w:webHidden/>
              </w:rPr>
              <w:instrText xml:space="preserve"> PAGEREF _Toc211325132 \h </w:instrText>
            </w:r>
            <w:r>
              <w:rPr>
                <w:noProof/>
                <w:webHidden/>
              </w:rPr>
            </w:r>
            <w:r>
              <w:rPr>
                <w:noProof/>
                <w:webHidden/>
              </w:rPr>
              <w:fldChar w:fldCharType="separate"/>
            </w:r>
            <w:r>
              <w:rPr>
                <w:noProof/>
                <w:webHidden/>
              </w:rPr>
              <w:t>9</w:t>
            </w:r>
            <w:r>
              <w:rPr>
                <w:noProof/>
                <w:webHidden/>
              </w:rPr>
              <w:fldChar w:fldCharType="end"/>
            </w:r>
          </w:hyperlink>
        </w:p>
        <w:p w14:paraId="2CD7BD4D" w14:textId="07501FBD" w:rsidR="006F702B" w:rsidRDefault="006F702B">
          <w:pPr>
            <w:pStyle w:val="TOC1"/>
            <w:tabs>
              <w:tab w:val="right" w:leader="dot" w:pos="9350"/>
            </w:tabs>
            <w:rPr>
              <w:noProof/>
              <w:kern w:val="2"/>
              <w:sz w:val="24"/>
              <w:szCs w:val="24"/>
              <w14:ligatures w14:val="standardContextual"/>
            </w:rPr>
          </w:pPr>
          <w:hyperlink w:anchor="_Toc211325133" w:history="1">
            <w:r w:rsidRPr="008159FD">
              <w:rPr>
                <w:rStyle w:val="Hyperlink"/>
                <w:rFonts w:ascii="Merriweather" w:hAnsi="Merriweather"/>
                <w:noProof/>
              </w:rPr>
              <w:t>Esketamine Monotherapy in Adults With Treatment-Resistant Depression: A Randomized Clinical Trial</w:t>
            </w:r>
            <w:r>
              <w:rPr>
                <w:noProof/>
                <w:webHidden/>
              </w:rPr>
              <w:tab/>
            </w:r>
            <w:r>
              <w:rPr>
                <w:noProof/>
                <w:webHidden/>
              </w:rPr>
              <w:fldChar w:fldCharType="begin"/>
            </w:r>
            <w:r>
              <w:rPr>
                <w:noProof/>
                <w:webHidden/>
              </w:rPr>
              <w:instrText xml:space="preserve"> PAGEREF _Toc211325133 \h </w:instrText>
            </w:r>
            <w:r>
              <w:rPr>
                <w:noProof/>
                <w:webHidden/>
              </w:rPr>
            </w:r>
            <w:r>
              <w:rPr>
                <w:noProof/>
                <w:webHidden/>
              </w:rPr>
              <w:fldChar w:fldCharType="separate"/>
            </w:r>
            <w:r>
              <w:rPr>
                <w:noProof/>
                <w:webHidden/>
              </w:rPr>
              <w:t>11</w:t>
            </w:r>
            <w:r>
              <w:rPr>
                <w:noProof/>
                <w:webHidden/>
              </w:rPr>
              <w:fldChar w:fldCharType="end"/>
            </w:r>
          </w:hyperlink>
        </w:p>
        <w:p w14:paraId="6B85FAFA" w14:textId="1466A3E0" w:rsidR="006F702B" w:rsidRDefault="006F702B">
          <w:pPr>
            <w:pStyle w:val="TOC1"/>
            <w:tabs>
              <w:tab w:val="right" w:leader="dot" w:pos="9350"/>
            </w:tabs>
            <w:rPr>
              <w:noProof/>
              <w:kern w:val="2"/>
              <w:sz w:val="24"/>
              <w:szCs w:val="24"/>
              <w14:ligatures w14:val="standardContextual"/>
            </w:rPr>
          </w:pPr>
          <w:hyperlink w:anchor="_Toc211325134" w:history="1">
            <w:r w:rsidRPr="008159FD">
              <w:rPr>
                <w:rStyle w:val="Hyperlink"/>
                <w:rFonts w:ascii="Merriweather" w:hAnsi="Merriweather"/>
                <w:noProof/>
              </w:rPr>
              <w:t>Suicide and Self-Harm Events With GLP-1 Receptor Agonists in Adults With Diabetes or Obesity: A Systematic Review and Meta-Analysis</w:t>
            </w:r>
            <w:r>
              <w:rPr>
                <w:noProof/>
                <w:webHidden/>
              </w:rPr>
              <w:tab/>
            </w:r>
            <w:r>
              <w:rPr>
                <w:noProof/>
                <w:webHidden/>
              </w:rPr>
              <w:fldChar w:fldCharType="begin"/>
            </w:r>
            <w:r>
              <w:rPr>
                <w:noProof/>
                <w:webHidden/>
              </w:rPr>
              <w:instrText xml:space="preserve"> PAGEREF _Toc211325134 \h </w:instrText>
            </w:r>
            <w:r>
              <w:rPr>
                <w:noProof/>
                <w:webHidden/>
              </w:rPr>
            </w:r>
            <w:r>
              <w:rPr>
                <w:noProof/>
                <w:webHidden/>
              </w:rPr>
              <w:fldChar w:fldCharType="separate"/>
            </w:r>
            <w:r>
              <w:rPr>
                <w:noProof/>
                <w:webHidden/>
              </w:rPr>
              <w:t>12</w:t>
            </w:r>
            <w:r>
              <w:rPr>
                <w:noProof/>
                <w:webHidden/>
              </w:rPr>
              <w:fldChar w:fldCharType="end"/>
            </w:r>
          </w:hyperlink>
        </w:p>
        <w:p w14:paraId="0DFA3804" w14:textId="411DEA93" w:rsidR="006F702B" w:rsidRDefault="006F702B">
          <w:pPr>
            <w:pStyle w:val="TOC1"/>
            <w:tabs>
              <w:tab w:val="right" w:leader="dot" w:pos="9350"/>
            </w:tabs>
            <w:rPr>
              <w:noProof/>
              <w:kern w:val="2"/>
              <w:sz w:val="24"/>
              <w:szCs w:val="24"/>
              <w14:ligatures w14:val="standardContextual"/>
            </w:rPr>
          </w:pPr>
          <w:hyperlink w:anchor="_Toc211325135" w:history="1">
            <w:r w:rsidRPr="008159FD">
              <w:rPr>
                <w:rStyle w:val="Hyperlink"/>
                <w:rFonts w:ascii="Merriweather" w:hAnsi="Merriweather"/>
                <w:noProof/>
              </w:rPr>
              <w:t>Ketamine-Associated Uropathy During Therapeutic and Nontherapeutic Use: Prevalence, Clinical Features, Mechanisms, and Strategies for Risk Reduction</w:t>
            </w:r>
            <w:r>
              <w:rPr>
                <w:noProof/>
                <w:webHidden/>
              </w:rPr>
              <w:tab/>
            </w:r>
            <w:r>
              <w:rPr>
                <w:noProof/>
                <w:webHidden/>
              </w:rPr>
              <w:fldChar w:fldCharType="begin"/>
            </w:r>
            <w:r>
              <w:rPr>
                <w:noProof/>
                <w:webHidden/>
              </w:rPr>
              <w:instrText xml:space="preserve"> PAGEREF _Toc211325135 \h </w:instrText>
            </w:r>
            <w:r>
              <w:rPr>
                <w:noProof/>
                <w:webHidden/>
              </w:rPr>
            </w:r>
            <w:r>
              <w:rPr>
                <w:noProof/>
                <w:webHidden/>
              </w:rPr>
              <w:fldChar w:fldCharType="separate"/>
            </w:r>
            <w:r>
              <w:rPr>
                <w:noProof/>
                <w:webHidden/>
              </w:rPr>
              <w:t>13</w:t>
            </w:r>
            <w:r>
              <w:rPr>
                <w:noProof/>
                <w:webHidden/>
              </w:rPr>
              <w:fldChar w:fldCharType="end"/>
            </w:r>
          </w:hyperlink>
        </w:p>
        <w:p w14:paraId="5343BA35" w14:textId="6FE818E2" w:rsidR="006F702B" w:rsidRDefault="006F702B">
          <w:pPr>
            <w:pStyle w:val="TOC1"/>
            <w:tabs>
              <w:tab w:val="right" w:leader="dot" w:pos="9350"/>
            </w:tabs>
            <w:rPr>
              <w:noProof/>
              <w:kern w:val="2"/>
              <w:sz w:val="24"/>
              <w:szCs w:val="24"/>
              <w14:ligatures w14:val="standardContextual"/>
            </w:rPr>
          </w:pPr>
          <w:hyperlink w:anchor="_Toc211325136" w:history="1">
            <w:r w:rsidRPr="008159FD">
              <w:rPr>
                <w:rStyle w:val="Hyperlink"/>
                <w:rFonts w:ascii="Merriweather" w:hAnsi="Merriweather"/>
                <w:noProof/>
              </w:rPr>
              <w:t>A pilot study examining a ketogenic diet as an adjunct therapy in college students with major depressive disorder</w:t>
            </w:r>
            <w:r>
              <w:rPr>
                <w:noProof/>
                <w:webHidden/>
              </w:rPr>
              <w:tab/>
            </w:r>
            <w:r>
              <w:rPr>
                <w:noProof/>
                <w:webHidden/>
              </w:rPr>
              <w:fldChar w:fldCharType="begin"/>
            </w:r>
            <w:r>
              <w:rPr>
                <w:noProof/>
                <w:webHidden/>
              </w:rPr>
              <w:instrText xml:space="preserve"> PAGEREF _Toc211325136 \h </w:instrText>
            </w:r>
            <w:r>
              <w:rPr>
                <w:noProof/>
                <w:webHidden/>
              </w:rPr>
            </w:r>
            <w:r>
              <w:rPr>
                <w:noProof/>
                <w:webHidden/>
              </w:rPr>
              <w:fldChar w:fldCharType="separate"/>
            </w:r>
            <w:r>
              <w:rPr>
                <w:noProof/>
                <w:webHidden/>
              </w:rPr>
              <w:t>14</w:t>
            </w:r>
            <w:r>
              <w:rPr>
                <w:noProof/>
                <w:webHidden/>
              </w:rPr>
              <w:fldChar w:fldCharType="end"/>
            </w:r>
          </w:hyperlink>
        </w:p>
        <w:p w14:paraId="684B6B67" w14:textId="0D6252F8" w:rsidR="006F702B" w:rsidRDefault="006F702B">
          <w:pPr>
            <w:pStyle w:val="TOC1"/>
            <w:tabs>
              <w:tab w:val="right" w:leader="dot" w:pos="9350"/>
            </w:tabs>
            <w:rPr>
              <w:noProof/>
              <w:kern w:val="2"/>
              <w:sz w:val="24"/>
              <w:szCs w:val="24"/>
              <w14:ligatures w14:val="standardContextual"/>
            </w:rPr>
          </w:pPr>
          <w:hyperlink w:anchor="_Toc211325137" w:history="1">
            <w:r w:rsidRPr="008159FD">
              <w:rPr>
                <w:rStyle w:val="Hyperlink"/>
                <w:rFonts w:ascii="Merriweather" w:hAnsi="Merriweather"/>
                <w:noProof/>
              </w:rPr>
              <w:t>Occurrence of Psychosis and Bipolar Disorder in Individuals With Attention-Deficit/Hyperactivity Disorder Treated With Stimulants: A Systematic Review and Meta-Analysis</w:t>
            </w:r>
            <w:r>
              <w:rPr>
                <w:noProof/>
                <w:webHidden/>
              </w:rPr>
              <w:tab/>
            </w:r>
            <w:r>
              <w:rPr>
                <w:noProof/>
                <w:webHidden/>
              </w:rPr>
              <w:fldChar w:fldCharType="begin"/>
            </w:r>
            <w:r>
              <w:rPr>
                <w:noProof/>
                <w:webHidden/>
              </w:rPr>
              <w:instrText xml:space="preserve"> PAGEREF _Toc211325137 \h </w:instrText>
            </w:r>
            <w:r>
              <w:rPr>
                <w:noProof/>
                <w:webHidden/>
              </w:rPr>
            </w:r>
            <w:r>
              <w:rPr>
                <w:noProof/>
                <w:webHidden/>
              </w:rPr>
              <w:fldChar w:fldCharType="separate"/>
            </w:r>
            <w:r>
              <w:rPr>
                <w:noProof/>
                <w:webHidden/>
              </w:rPr>
              <w:t>15</w:t>
            </w:r>
            <w:r>
              <w:rPr>
                <w:noProof/>
                <w:webHidden/>
              </w:rPr>
              <w:fldChar w:fldCharType="end"/>
            </w:r>
          </w:hyperlink>
        </w:p>
        <w:p w14:paraId="30643AB1" w14:textId="28F2C769" w:rsidR="006F702B" w:rsidRDefault="006F702B">
          <w:pPr>
            <w:pStyle w:val="TOC1"/>
            <w:tabs>
              <w:tab w:val="right" w:leader="dot" w:pos="9350"/>
            </w:tabs>
            <w:rPr>
              <w:noProof/>
              <w:kern w:val="2"/>
              <w:sz w:val="24"/>
              <w:szCs w:val="24"/>
              <w14:ligatures w14:val="standardContextual"/>
            </w:rPr>
          </w:pPr>
          <w:hyperlink w:anchor="_Toc211325138" w:history="1">
            <w:r w:rsidRPr="008159FD">
              <w:rPr>
                <w:rStyle w:val="Hyperlink"/>
                <w:rFonts w:ascii="Merriweather" w:hAnsi="Merriweather"/>
                <w:noProof/>
              </w:rPr>
              <w:t>New Episodes and Suicidal Risks in Bipolar and Major Depressive Disorder Patients During Versus Before Long</w:t>
            </w:r>
            <w:r w:rsidRPr="008159FD">
              <w:rPr>
                <w:rStyle w:val="Hyperlink"/>
                <w:rFonts w:ascii="Cambria Math" w:hAnsi="Cambria Math" w:cs="Cambria Math"/>
                <w:noProof/>
              </w:rPr>
              <w:t>‐</w:t>
            </w:r>
            <w:r w:rsidRPr="008159FD">
              <w:rPr>
                <w:rStyle w:val="Hyperlink"/>
                <w:rFonts w:ascii="Merriweather" w:hAnsi="Merriweather"/>
                <w:noProof/>
              </w:rPr>
              <w:t>Term Treatment With Lithium</w:t>
            </w:r>
            <w:r>
              <w:rPr>
                <w:noProof/>
                <w:webHidden/>
              </w:rPr>
              <w:tab/>
            </w:r>
            <w:r>
              <w:rPr>
                <w:noProof/>
                <w:webHidden/>
              </w:rPr>
              <w:fldChar w:fldCharType="begin"/>
            </w:r>
            <w:r>
              <w:rPr>
                <w:noProof/>
                <w:webHidden/>
              </w:rPr>
              <w:instrText xml:space="preserve"> PAGEREF _Toc211325138 \h </w:instrText>
            </w:r>
            <w:r>
              <w:rPr>
                <w:noProof/>
                <w:webHidden/>
              </w:rPr>
            </w:r>
            <w:r>
              <w:rPr>
                <w:noProof/>
                <w:webHidden/>
              </w:rPr>
              <w:fldChar w:fldCharType="separate"/>
            </w:r>
            <w:r>
              <w:rPr>
                <w:noProof/>
                <w:webHidden/>
              </w:rPr>
              <w:t>16</w:t>
            </w:r>
            <w:r>
              <w:rPr>
                <w:noProof/>
                <w:webHidden/>
              </w:rPr>
              <w:fldChar w:fldCharType="end"/>
            </w:r>
          </w:hyperlink>
        </w:p>
        <w:p w14:paraId="102C5DD6" w14:textId="0F7E123F" w:rsidR="006F702B" w:rsidRDefault="006F702B">
          <w:pPr>
            <w:pStyle w:val="TOC1"/>
            <w:tabs>
              <w:tab w:val="right" w:leader="dot" w:pos="9350"/>
            </w:tabs>
            <w:rPr>
              <w:noProof/>
              <w:kern w:val="2"/>
              <w:sz w:val="24"/>
              <w:szCs w:val="24"/>
              <w14:ligatures w14:val="standardContextual"/>
            </w:rPr>
          </w:pPr>
          <w:hyperlink w:anchor="_Toc211325139" w:history="1">
            <w:r w:rsidRPr="008159FD">
              <w:rPr>
                <w:rStyle w:val="Hyperlink"/>
                <w:rFonts w:ascii="Merriweather" w:hAnsi="Merriweather"/>
                <w:noProof/>
              </w:rPr>
              <w:t>The Safety of 12-Weekly Monitoring of Neutrophil Count in Long-Term Clozapine Patients</w:t>
            </w:r>
            <w:r>
              <w:rPr>
                <w:noProof/>
                <w:webHidden/>
              </w:rPr>
              <w:tab/>
            </w:r>
            <w:r>
              <w:rPr>
                <w:noProof/>
                <w:webHidden/>
              </w:rPr>
              <w:fldChar w:fldCharType="begin"/>
            </w:r>
            <w:r>
              <w:rPr>
                <w:noProof/>
                <w:webHidden/>
              </w:rPr>
              <w:instrText xml:space="preserve"> PAGEREF _Toc211325139 \h </w:instrText>
            </w:r>
            <w:r>
              <w:rPr>
                <w:noProof/>
                <w:webHidden/>
              </w:rPr>
            </w:r>
            <w:r>
              <w:rPr>
                <w:noProof/>
                <w:webHidden/>
              </w:rPr>
              <w:fldChar w:fldCharType="separate"/>
            </w:r>
            <w:r>
              <w:rPr>
                <w:noProof/>
                <w:webHidden/>
              </w:rPr>
              <w:t>17</w:t>
            </w:r>
            <w:r>
              <w:rPr>
                <w:noProof/>
                <w:webHidden/>
              </w:rPr>
              <w:fldChar w:fldCharType="end"/>
            </w:r>
          </w:hyperlink>
        </w:p>
        <w:p w14:paraId="1118A3CD" w14:textId="69BDB52F" w:rsidR="006F702B" w:rsidRDefault="006F702B">
          <w:pPr>
            <w:pStyle w:val="TOC1"/>
            <w:tabs>
              <w:tab w:val="right" w:leader="dot" w:pos="9350"/>
            </w:tabs>
            <w:rPr>
              <w:noProof/>
              <w:kern w:val="2"/>
              <w:sz w:val="24"/>
              <w:szCs w:val="24"/>
              <w14:ligatures w14:val="standardContextual"/>
            </w:rPr>
          </w:pPr>
          <w:hyperlink w:anchor="_Toc211325140" w:history="1">
            <w:r w:rsidRPr="008159FD">
              <w:rPr>
                <w:rStyle w:val="Hyperlink"/>
                <w:rFonts w:ascii="Merriweather" w:hAnsi="Merriweather"/>
                <w:noProof/>
              </w:rPr>
              <w:t>Use of Antidepressants Decreased After Initiation of ADHD Treatment in Adults-A Finnish Nationwide Register Study Describing Use of ADHD and Non-ADHD Medication in People With and Without ADHD</w:t>
            </w:r>
            <w:r>
              <w:rPr>
                <w:noProof/>
                <w:webHidden/>
              </w:rPr>
              <w:tab/>
            </w:r>
            <w:r>
              <w:rPr>
                <w:noProof/>
                <w:webHidden/>
              </w:rPr>
              <w:fldChar w:fldCharType="begin"/>
            </w:r>
            <w:r>
              <w:rPr>
                <w:noProof/>
                <w:webHidden/>
              </w:rPr>
              <w:instrText xml:space="preserve"> PAGEREF _Toc211325140 \h </w:instrText>
            </w:r>
            <w:r>
              <w:rPr>
                <w:noProof/>
                <w:webHidden/>
              </w:rPr>
            </w:r>
            <w:r>
              <w:rPr>
                <w:noProof/>
                <w:webHidden/>
              </w:rPr>
              <w:fldChar w:fldCharType="separate"/>
            </w:r>
            <w:r>
              <w:rPr>
                <w:noProof/>
                <w:webHidden/>
              </w:rPr>
              <w:t>18</w:t>
            </w:r>
            <w:r>
              <w:rPr>
                <w:noProof/>
                <w:webHidden/>
              </w:rPr>
              <w:fldChar w:fldCharType="end"/>
            </w:r>
          </w:hyperlink>
        </w:p>
        <w:p w14:paraId="7950A6C4" w14:textId="07D83106" w:rsidR="006F702B" w:rsidRDefault="006F702B">
          <w:pPr>
            <w:pStyle w:val="TOC1"/>
            <w:tabs>
              <w:tab w:val="right" w:leader="dot" w:pos="9350"/>
            </w:tabs>
            <w:rPr>
              <w:noProof/>
              <w:kern w:val="2"/>
              <w:sz w:val="24"/>
              <w:szCs w:val="24"/>
              <w14:ligatures w14:val="standardContextual"/>
            </w:rPr>
          </w:pPr>
          <w:hyperlink w:anchor="_Toc211325141" w:history="1">
            <w:r w:rsidRPr="008159FD">
              <w:rPr>
                <w:rStyle w:val="Hyperlink"/>
                <w:rFonts w:ascii="Merriweather" w:hAnsi="Merriweather"/>
                <w:noProof/>
              </w:rPr>
              <w:t>Lamotrigine treatment of mental health problems during the perinatal period</w:t>
            </w:r>
            <w:r>
              <w:rPr>
                <w:noProof/>
                <w:webHidden/>
              </w:rPr>
              <w:tab/>
            </w:r>
            <w:r>
              <w:rPr>
                <w:noProof/>
                <w:webHidden/>
              </w:rPr>
              <w:fldChar w:fldCharType="begin"/>
            </w:r>
            <w:r>
              <w:rPr>
                <w:noProof/>
                <w:webHidden/>
              </w:rPr>
              <w:instrText xml:space="preserve"> PAGEREF _Toc211325141 \h </w:instrText>
            </w:r>
            <w:r>
              <w:rPr>
                <w:noProof/>
                <w:webHidden/>
              </w:rPr>
            </w:r>
            <w:r>
              <w:rPr>
                <w:noProof/>
                <w:webHidden/>
              </w:rPr>
              <w:fldChar w:fldCharType="separate"/>
            </w:r>
            <w:r>
              <w:rPr>
                <w:noProof/>
                <w:webHidden/>
              </w:rPr>
              <w:t>19</w:t>
            </w:r>
            <w:r>
              <w:rPr>
                <w:noProof/>
                <w:webHidden/>
              </w:rPr>
              <w:fldChar w:fldCharType="end"/>
            </w:r>
          </w:hyperlink>
        </w:p>
        <w:p w14:paraId="261AAF5B" w14:textId="48DD3F83" w:rsidR="006F702B" w:rsidRDefault="006F702B">
          <w:pPr>
            <w:pStyle w:val="TOC1"/>
            <w:tabs>
              <w:tab w:val="right" w:leader="dot" w:pos="9350"/>
            </w:tabs>
            <w:rPr>
              <w:noProof/>
              <w:kern w:val="2"/>
              <w:sz w:val="24"/>
              <w:szCs w:val="24"/>
              <w14:ligatures w14:val="standardContextual"/>
            </w:rPr>
          </w:pPr>
          <w:hyperlink w:anchor="_Toc211325142" w:history="1">
            <w:r w:rsidRPr="008159FD">
              <w:rPr>
                <w:rStyle w:val="Hyperlink"/>
                <w:rFonts w:ascii="Merriweather" w:hAnsi="Merriweather"/>
                <w:noProof/>
              </w:rPr>
              <w:t>Early Pubertal Timing, Suicidality, and Self-Injurious Behaviors in Preadolescents: Evidence for Concurrent and Emergent Risk Prediction</w:t>
            </w:r>
            <w:r>
              <w:rPr>
                <w:noProof/>
                <w:webHidden/>
              </w:rPr>
              <w:tab/>
            </w:r>
            <w:r>
              <w:rPr>
                <w:noProof/>
                <w:webHidden/>
              </w:rPr>
              <w:fldChar w:fldCharType="begin"/>
            </w:r>
            <w:r>
              <w:rPr>
                <w:noProof/>
                <w:webHidden/>
              </w:rPr>
              <w:instrText xml:space="preserve"> PAGEREF _Toc211325142 \h </w:instrText>
            </w:r>
            <w:r>
              <w:rPr>
                <w:noProof/>
                <w:webHidden/>
              </w:rPr>
            </w:r>
            <w:r>
              <w:rPr>
                <w:noProof/>
                <w:webHidden/>
              </w:rPr>
              <w:fldChar w:fldCharType="separate"/>
            </w:r>
            <w:r>
              <w:rPr>
                <w:noProof/>
                <w:webHidden/>
              </w:rPr>
              <w:t>19</w:t>
            </w:r>
            <w:r>
              <w:rPr>
                <w:noProof/>
                <w:webHidden/>
              </w:rPr>
              <w:fldChar w:fldCharType="end"/>
            </w:r>
          </w:hyperlink>
        </w:p>
        <w:p w14:paraId="68C5FD2A" w14:textId="56937190" w:rsidR="006F702B" w:rsidRDefault="006F702B">
          <w:pPr>
            <w:pStyle w:val="TOC1"/>
            <w:tabs>
              <w:tab w:val="right" w:leader="dot" w:pos="9350"/>
            </w:tabs>
            <w:rPr>
              <w:noProof/>
              <w:kern w:val="2"/>
              <w:sz w:val="24"/>
              <w:szCs w:val="24"/>
              <w14:ligatures w14:val="standardContextual"/>
            </w:rPr>
          </w:pPr>
          <w:hyperlink w:anchor="_Toc211325143" w:history="1">
            <w:r w:rsidRPr="008159FD">
              <w:rPr>
                <w:rStyle w:val="Hyperlink"/>
                <w:rFonts w:ascii="Merriweather" w:hAnsi="Merriweather"/>
                <w:noProof/>
              </w:rPr>
              <w:t>Holistic prevention and management of physical health side-effects of psychotropic medication: second report of the Lancet Psychiatry Physical Health Commission</w:t>
            </w:r>
            <w:r>
              <w:rPr>
                <w:noProof/>
                <w:webHidden/>
              </w:rPr>
              <w:tab/>
            </w:r>
            <w:r>
              <w:rPr>
                <w:noProof/>
                <w:webHidden/>
              </w:rPr>
              <w:fldChar w:fldCharType="begin"/>
            </w:r>
            <w:r>
              <w:rPr>
                <w:noProof/>
                <w:webHidden/>
              </w:rPr>
              <w:instrText xml:space="preserve"> PAGEREF _Toc211325143 \h </w:instrText>
            </w:r>
            <w:r>
              <w:rPr>
                <w:noProof/>
                <w:webHidden/>
              </w:rPr>
            </w:r>
            <w:r>
              <w:rPr>
                <w:noProof/>
                <w:webHidden/>
              </w:rPr>
              <w:fldChar w:fldCharType="separate"/>
            </w:r>
            <w:r>
              <w:rPr>
                <w:noProof/>
                <w:webHidden/>
              </w:rPr>
              <w:t>20</w:t>
            </w:r>
            <w:r>
              <w:rPr>
                <w:noProof/>
                <w:webHidden/>
              </w:rPr>
              <w:fldChar w:fldCharType="end"/>
            </w:r>
          </w:hyperlink>
        </w:p>
        <w:p w14:paraId="0E8E1C90" w14:textId="37ABC6BC" w:rsidR="006F702B" w:rsidRDefault="006F702B">
          <w:pPr>
            <w:pStyle w:val="TOC2"/>
            <w:tabs>
              <w:tab w:val="right" w:leader="dot" w:pos="9350"/>
            </w:tabs>
            <w:rPr>
              <w:rFonts w:eastAsiaTheme="minorEastAsia"/>
              <w:noProof/>
              <w:kern w:val="2"/>
              <w:sz w:val="24"/>
              <w:szCs w:val="24"/>
              <w14:ligatures w14:val="standardContextual"/>
            </w:rPr>
          </w:pPr>
          <w:hyperlink w:anchor="_Toc211325144" w:history="1">
            <w:r w:rsidRPr="008159FD">
              <w:rPr>
                <w:rStyle w:val="Hyperlink"/>
                <w:rFonts w:cstheme="minorHAnsi"/>
                <w:noProof/>
              </w:rPr>
              <w:t>Interesting Viewpoints</w:t>
            </w:r>
            <w:r>
              <w:rPr>
                <w:noProof/>
                <w:webHidden/>
              </w:rPr>
              <w:tab/>
            </w:r>
            <w:r>
              <w:rPr>
                <w:noProof/>
                <w:webHidden/>
              </w:rPr>
              <w:fldChar w:fldCharType="begin"/>
            </w:r>
            <w:r>
              <w:rPr>
                <w:noProof/>
                <w:webHidden/>
              </w:rPr>
              <w:instrText xml:space="preserve"> PAGEREF _Toc211325144 \h </w:instrText>
            </w:r>
            <w:r>
              <w:rPr>
                <w:noProof/>
                <w:webHidden/>
              </w:rPr>
            </w:r>
            <w:r>
              <w:rPr>
                <w:noProof/>
                <w:webHidden/>
              </w:rPr>
              <w:fldChar w:fldCharType="separate"/>
            </w:r>
            <w:r>
              <w:rPr>
                <w:noProof/>
                <w:webHidden/>
              </w:rPr>
              <w:t>21</w:t>
            </w:r>
            <w:r>
              <w:rPr>
                <w:noProof/>
                <w:webHidden/>
              </w:rPr>
              <w:fldChar w:fldCharType="end"/>
            </w:r>
          </w:hyperlink>
        </w:p>
        <w:p w14:paraId="7CEA6DCA" w14:textId="50A4B77D" w:rsidR="006F702B" w:rsidRDefault="006F702B">
          <w:pPr>
            <w:pStyle w:val="TOC1"/>
            <w:tabs>
              <w:tab w:val="right" w:leader="dot" w:pos="9350"/>
            </w:tabs>
            <w:rPr>
              <w:noProof/>
              <w:kern w:val="2"/>
              <w:sz w:val="24"/>
              <w:szCs w:val="24"/>
              <w14:ligatures w14:val="standardContextual"/>
            </w:rPr>
          </w:pPr>
          <w:hyperlink w:anchor="_Toc211325145" w:history="1">
            <w:r w:rsidRPr="008159FD">
              <w:rPr>
                <w:rStyle w:val="Hyperlink"/>
                <w:rFonts w:ascii="Merriweather" w:hAnsi="Merriweather"/>
                <w:noProof/>
              </w:rPr>
              <w:t>The Rumpelstiltskin effect: therapeutic repercussions of clinical diagnosis</w:t>
            </w:r>
            <w:r>
              <w:rPr>
                <w:noProof/>
                <w:webHidden/>
              </w:rPr>
              <w:tab/>
            </w:r>
            <w:r>
              <w:rPr>
                <w:noProof/>
                <w:webHidden/>
              </w:rPr>
              <w:fldChar w:fldCharType="begin"/>
            </w:r>
            <w:r>
              <w:rPr>
                <w:noProof/>
                <w:webHidden/>
              </w:rPr>
              <w:instrText xml:space="preserve"> PAGEREF _Toc211325145 \h </w:instrText>
            </w:r>
            <w:r>
              <w:rPr>
                <w:noProof/>
                <w:webHidden/>
              </w:rPr>
            </w:r>
            <w:r>
              <w:rPr>
                <w:noProof/>
                <w:webHidden/>
              </w:rPr>
              <w:fldChar w:fldCharType="separate"/>
            </w:r>
            <w:r>
              <w:rPr>
                <w:noProof/>
                <w:webHidden/>
              </w:rPr>
              <w:t>21</w:t>
            </w:r>
            <w:r>
              <w:rPr>
                <w:noProof/>
                <w:webHidden/>
              </w:rPr>
              <w:fldChar w:fldCharType="end"/>
            </w:r>
          </w:hyperlink>
        </w:p>
        <w:p w14:paraId="4882E867" w14:textId="1E5DD36B" w:rsidR="006F702B" w:rsidRDefault="006F702B">
          <w:pPr>
            <w:pStyle w:val="TOC1"/>
            <w:tabs>
              <w:tab w:val="right" w:leader="dot" w:pos="9350"/>
            </w:tabs>
            <w:rPr>
              <w:noProof/>
              <w:kern w:val="2"/>
              <w:sz w:val="24"/>
              <w:szCs w:val="24"/>
              <w14:ligatures w14:val="standardContextual"/>
            </w:rPr>
          </w:pPr>
          <w:hyperlink w:anchor="_Toc211325146" w:history="1">
            <w:r w:rsidRPr="008159FD">
              <w:rPr>
                <w:rStyle w:val="Hyperlink"/>
                <w:rFonts w:ascii="Merriweather" w:hAnsi="Merriweather"/>
                <w:noProof/>
              </w:rPr>
              <w:t>Isotretinoin use, mood changes and suicidality. What is the link? Commentary, Duan and Chen</w:t>
            </w:r>
            <w:r>
              <w:rPr>
                <w:noProof/>
                <w:webHidden/>
              </w:rPr>
              <w:tab/>
            </w:r>
            <w:r>
              <w:rPr>
                <w:noProof/>
                <w:webHidden/>
              </w:rPr>
              <w:fldChar w:fldCharType="begin"/>
            </w:r>
            <w:r>
              <w:rPr>
                <w:noProof/>
                <w:webHidden/>
              </w:rPr>
              <w:instrText xml:space="preserve"> PAGEREF _Toc211325146 \h </w:instrText>
            </w:r>
            <w:r>
              <w:rPr>
                <w:noProof/>
                <w:webHidden/>
              </w:rPr>
            </w:r>
            <w:r>
              <w:rPr>
                <w:noProof/>
                <w:webHidden/>
              </w:rPr>
              <w:fldChar w:fldCharType="separate"/>
            </w:r>
            <w:r>
              <w:rPr>
                <w:noProof/>
                <w:webHidden/>
              </w:rPr>
              <w:t>21</w:t>
            </w:r>
            <w:r>
              <w:rPr>
                <w:noProof/>
                <w:webHidden/>
              </w:rPr>
              <w:fldChar w:fldCharType="end"/>
            </w:r>
          </w:hyperlink>
        </w:p>
        <w:p w14:paraId="611A815F" w14:textId="46B267A7" w:rsidR="006F702B" w:rsidRDefault="006F702B">
          <w:pPr>
            <w:pStyle w:val="TOC1"/>
            <w:tabs>
              <w:tab w:val="right" w:leader="dot" w:pos="9350"/>
            </w:tabs>
            <w:rPr>
              <w:noProof/>
              <w:kern w:val="2"/>
              <w:sz w:val="24"/>
              <w:szCs w:val="24"/>
              <w14:ligatures w14:val="standardContextual"/>
            </w:rPr>
          </w:pPr>
          <w:hyperlink w:anchor="_Toc211325147" w:history="1">
            <w:r w:rsidRPr="008159FD">
              <w:rPr>
                <w:rStyle w:val="Hyperlink"/>
                <w:rFonts w:ascii="Merriweather" w:hAnsi="Merriweather"/>
                <w:noProof/>
              </w:rPr>
              <w:t>Acetaminophen Use in Pregnancy-Study Author Explains the Data</w:t>
            </w:r>
            <w:r>
              <w:rPr>
                <w:noProof/>
                <w:webHidden/>
              </w:rPr>
              <w:tab/>
            </w:r>
            <w:r>
              <w:rPr>
                <w:noProof/>
                <w:webHidden/>
              </w:rPr>
              <w:fldChar w:fldCharType="begin"/>
            </w:r>
            <w:r>
              <w:rPr>
                <w:noProof/>
                <w:webHidden/>
              </w:rPr>
              <w:instrText xml:space="preserve"> PAGEREF _Toc211325147 \h </w:instrText>
            </w:r>
            <w:r>
              <w:rPr>
                <w:noProof/>
                <w:webHidden/>
              </w:rPr>
            </w:r>
            <w:r>
              <w:rPr>
                <w:noProof/>
                <w:webHidden/>
              </w:rPr>
              <w:fldChar w:fldCharType="separate"/>
            </w:r>
            <w:r>
              <w:rPr>
                <w:noProof/>
                <w:webHidden/>
              </w:rPr>
              <w:t>21</w:t>
            </w:r>
            <w:r>
              <w:rPr>
                <w:noProof/>
                <w:webHidden/>
              </w:rPr>
              <w:fldChar w:fldCharType="end"/>
            </w:r>
          </w:hyperlink>
        </w:p>
        <w:p w14:paraId="50E1FE11" w14:textId="2851CB20" w:rsidR="006F702B" w:rsidRDefault="006F702B">
          <w:pPr>
            <w:pStyle w:val="TOC1"/>
            <w:tabs>
              <w:tab w:val="right" w:leader="dot" w:pos="9350"/>
            </w:tabs>
            <w:rPr>
              <w:noProof/>
              <w:kern w:val="2"/>
              <w:sz w:val="24"/>
              <w:szCs w:val="24"/>
              <w14:ligatures w14:val="standardContextual"/>
            </w:rPr>
          </w:pPr>
          <w:hyperlink w:anchor="_Toc211325148" w:history="1">
            <w:r w:rsidRPr="008159FD">
              <w:rPr>
                <w:rStyle w:val="Hyperlink"/>
                <w:rFonts w:ascii="Merriweather" w:hAnsi="Merriweather"/>
                <w:noProof/>
              </w:rPr>
              <w:t>20 Years of Aberrant Salience in Psychosis: What Have We Learned?</w:t>
            </w:r>
            <w:r>
              <w:rPr>
                <w:noProof/>
                <w:webHidden/>
              </w:rPr>
              <w:tab/>
            </w:r>
            <w:r>
              <w:rPr>
                <w:noProof/>
                <w:webHidden/>
              </w:rPr>
              <w:fldChar w:fldCharType="begin"/>
            </w:r>
            <w:r>
              <w:rPr>
                <w:noProof/>
                <w:webHidden/>
              </w:rPr>
              <w:instrText xml:space="preserve"> PAGEREF _Toc211325148 \h </w:instrText>
            </w:r>
            <w:r>
              <w:rPr>
                <w:noProof/>
                <w:webHidden/>
              </w:rPr>
            </w:r>
            <w:r>
              <w:rPr>
                <w:noProof/>
                <w:webHidden/>
              </w:rPr>
              <w:fldChar w:fldCharType="separate"/>
            </w:r>
            <w:r>
              <w:rPr>
                <w:noProof/>
                <w:webHidden/>
              </w:rPr>
              <w:t>22</w:t>
            </w:r>
            <w:r>
              <w:rPr>
                <w:noProof/>
                <w:webHidden/>
              </w:rPr>
              <w:fldChar w:fldCharType="end"/>
            </w:r>
          </w:hyperlink>
        </w:p>
        <w:p w14:paraId="6E820A04" w14:textId="08DCA2E1" w:rsidR="00906E72" w:rsidRPr="00B35071" w:rsidRDefault="00DF2746" w:rsidP="007411FF">
          <w:pPr>
            <w:rPr>
              <w:rFonts w:cstheme="minorHAnsi"/>
              <w:noProof/>
            </w:rPr>
          </w:pPr>
          <w:r w:rsidRPr="00B35071">
            <w:rPr>
              <w:rFonts w:cstheme="minorHAnsi"/>
              <w:noProof/>
            </w:rPr>
            <w:fldChar w:fldCharType="end"/>
          </w:r>
        </w:p>
        <w:p w14:paraId="4D666B80" w14:textId="467AC270" w:rsidR="007411FF" w:rsidRPr="00B35071" w:rsidRDefault="00000000" w:rsidP="007411FF">
          <w:pPr>
            <w:rPr>
              <w:rFonts w:cstheme="minorHAnsi"/>
              <w:noProof/>
            </w:rPr>
          </w:pPr>
        </w:p>
      </w:sdtContent>
    </w:sdt>
    <w:p w14:paraId="376CEA4B" w14:textId="77777777" w:rsidR="00CA3775" w:rsidRDefault="00CA3775" w:rsidP="00B35071">
      <w:pPr>
        <w:pStyle w:val="Heading2"/>
        <w:rPr>
          <w:rFonts w:asciiTheme="minorHAnsi" w:hAnsiTheme="minorHAnsi" w:cstheme="minorHAnsi"/>
          <w:sz w:val="22"/>
          <w:szCs w:val="22"/>
        </w:rPr>
      </w:pPr>
    </w:p>
    <w:p w14:paraId="0AD92326" w14:textId="77777777" w:rsidR="00CA3775" w:rsidRDefault="00CA3775" w:rsidP="00B35071">
      <w:pPr>
        <w:pStyle w:val="Heading2"/>
        <w:rPr>
          <w:rFonts w:asciiTheme="minorHAnsi" w:hAnsiTheme="minorHAnsi" w:cstheme="minorHAnsi"/>
          <w:sz w:val="22"/>
          <w:szCs w:val="22"/>
        </w:rPr>
      </w:pPr>
    </w:p>
    <w:p w14:paraId="46D0388B" w14:textId="77777777" w:rsidR="00925182" w:rsidRDefault="00925182" w:rsidP="00925182">
      <w:pPr>
        <w:pStyle w:val="Heading1"/>
        <w:shd w:val="clear" w:color="auto" w:fill="FFFFFF"/>
        <w:rPr>
          <w:rFonts w:ascii="Merriweather" w:hAnsi="Merriweather"/>
          <w:color w:val="212121"/>
        </w:rPr>
      </w:pPr>
      <w:bookmarkStart w:id="1" w:name="_Toc211325126"/>
      <w:r>
        <w:rPr>
          <w:rFonts w:ascii="Merriweather" w:hAnsi="Merriweather"/>
          <w:color w:val="212121"/>
        </w:rPr>
        <w:t>Testing Bidirectional Associations Between Maternal and Child Depression During Emerging Adolescence</w:t>
      </w:r>
      <w:bookmarkEnd w:id="1"/>
    </w:p>
    <w:p w14:paraId="7962D180" w14:textId="77777777" w:rsidR="00925182" w:rsidRDefault="00925182" w:rsidP="00B35071">
      <w:pPr>
        <w:rPr>
          <w:rFonts w:ascii="Segoe UI" w:hAnsi="Segoe UI" w:cs="Segoe UI"/>
          <w:color w:val="212121"/>
          <w:shd w:val="clear" w:color="auto" w:fill="FFFFFF"/>
        </w:rPr>
      </w:pPr>
    </w:p>
    <w:p w14:paraId="30C801A1" w14:textId="0B76FE83" w:rsidR="00925182" w:rsidRDefault="00925182" w:rsidP="00B35071">
      <w:pPr>
        <w:rPr>
          <w:rFonts w:ascii="Segoe UI" w:hAnsi="Segoe UI" w:cs="Segoe UI"/>
          <w:color w:val="212121"/>
          <w:shd w:val="clear" w:color="auto" w:fill="FFFFFF"/>
        </w:rPr>
      </w:pPr>
      <w:r>
        <w:rPr>
          <w:rFonts w:ascii="Segoe UI" w:hAnsi="Segoe UI" w:cs="Segoe UI"/>
          <w:color w:val="212121"/>
          <w:shd w:val="clear" w:color="auto" w:fill="FFFFFF"/>
        </w:rPr>
        <w:t xml:space="preserve">Hewitt JMA, McArthur BA, Neville RD, Park JL, Tough S, Madigan S. Testing Bidirectional Associations Between Maternal and Child Depression During Emerging Adolescence. JAMA </w:t>
      </w:r>
      <w:proofErr w:type="spellStart"/>
      <w:r>
        <w:rPr>
          <w:rFonts w:ascii="Segoe UI" w:hAnsi="Segoe UI" w:cs="Segoe UI"/>
          <w:color w:val="212121"/>
          <w:shd w:val="clear" w:color="auto" w:fill="FFFFFF"/>
        </w:rPr>
        <w:t>Pediatr</w:t>
      </w:r>
      <w:proofErr w:type="spellEnd"/>
      <w:r>
        <w:rPr>
          <w:rFonts w:ascii="Segoe UI" w:hAnsi="Segoe UI" w:cs="Segoe UI"/>
          <w:color w:val="212121"/>
          <w:shd w:val="clear" w:color="auto" w:fill="FFFFFF"/>
        </w:rPr>
        <w:t xml:space="preserve">. 2025 Oct 1;179(10):1100-1107.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10.1001/jamapediatrics.2025.2822. </w:t>
      </w:r>
      <w:hyperlink r:id="rId9" w:history="1">
        <w:r w:rsidRPr="00925182">
          <w:rPr>
            <w:rStyle w:val="Hyperlink"/>
            <w:rFonts w:ascii="Segoe UI" w:hAnsi="Segoe UI" w:cs="Segoe UI"/>
            <w:shd w:val="clear" w:color="auto" w:fill="FFFFFF"/>
          </w:rPr>
          <w:t>PMID: 40853554</w:t>
        </w:r>
      </w:hyperlink>
      <w:r>
        <w:rPr>
          <w:rFonts w:ascii="Segoe UI" w:hAnsi="Segoe UI" w:cs="Segoe UI"/>
          <w:color w:val="212121"/>
          <w:shd w:val="clear" w:color="auto" w:fill="FFFFFF"/>
        </w:rPr>
        <w:t>; PMCID: PMC12379117.</w:t>
      </w:r>
    </w:p>
    <w:p w14:paraId="3AE67041" w14:textId="77777777" w:rsidR="00925182" w:rsidRDefault="00925182" w:rsidP="00925182">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Research has consistently shown links between parent and child depression. The prevailing assumption is that parent depression precedes the onset, persistence, and even exacerbation of child depression. However, it is plausible, albeit infrequently tested, that child depression triggers subsequent parent depression. Clarifying the direction and developmental timing of these associations is critical for designing and advocating for family-centered approaches to pediatric care.</w:t>
      </w:r>
    </w:p>
    <w:p w14:paraId="356D504B" w14:textId="77777777" w:rsidR="00925182" w:rsidRDefault="00925182" w:rsidP="00925182">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estimate the longitudinal bidirectional associations between maternal and child depression from middle childhood through emerging adolescence during a period that coincided with the COVID-19 pandemic, and to assess whether these associations are moderated by key sociodemographic factors.</w:t>
      </w:r>
    </w:p>
    <w:p w14:paraId="3DAE2F8D" w14:textId="77777777" w:rsidR="00925182" w:rsidRDefault="00925182" w:rsidP="00925182">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This study used data from the All Our Families (Calgary, Alberta, Canada) cohort across multiple waves during and beyond the COVID-19 pandemic when children were aged 10.3 (May 20 to July 15, 2020), 10.9 (March 4 to April 30, 2021), 11.6 (November 22, 2021 to January 17, 2022), and 12.8 (January 16 to July 7, 2024) years. Data were analyzed between March 1 and August 31, 2024, using random-intercept cross-lagged panel models.</w:t>
      </w:r>
    </w:p>
    <w:p w14:paraId="5E631A0C" w14:textId="77777777" w:rsidR="00925182" w:rsidRDefault="00925182" w:rsidP="00925182">
      <w:pPr>
        <w:pStyle w:val="NormalWeb"/>
        <w:shd w:val="clear" w:color="auto" w:fill="FFFFFF"/>
        <w:rPr>
          <w:rFonts w:ascii="Segoe UI" w:hAnsi="Segoe UI" w:cs="Segoe UI"/>
          <w:color w:val="212121"/>
        </w:rPr>
      </w:pPr>
      <w:r>
        <w:rPr>
          <w:rStyle w:val="Strong"/>
          <w:rFonts w:ascii="Segoe UI" w:hAnsi="Segoe UI" w:cs="Segoe UI"/>
          <w:color w:val="212121"/>
        </w:rPr>
        <w:t>Exposures: </w:t>
      </w:r>
      <w:r>
        <w:rPr>
          <w:rFonts w:ascii="Segoe UI" w:hAnsi="Segoe UI" w:cs="Segoe UI"/>
          <w:color w:val="212121"/>
        </w:rPr>
        <w:t>Maternal and child report of depressive symptoms.</w:t>
      </w:r>
    </w:p>
    <w:p w14:paraId="1AEB38CB" w14:textId="77777777" w:rsidR="00925182" w:rsidRDefault="00925182" w:rsidP="00925182">
      <w:pPr>
        <w:pStyle w:val="NormalWeb"/>
        <w:shd w:val="clear" w:color="auto" w:fill="FFFFFF"/>
        <w:rPr>
          <w:rFonts w:ascii="Segoe UI" w:hAnsi="Segoe UI" w:cs="Segoe UI"/>
          <w:color w:val="212121"/>
        </w:rPr>
      </w:pPr>
      <w:r>
        <w:rPr>
          <w:rStyle w:val="Strong"/>
          <w:rFonts w:ascii="Segoe UI" w:hAnsi="Segoe UI" w:cs="Segoe UI"/>
          <w:color w:val="212121"/>
        </w:rPr>
        <w:lastRenderedPageBreak/>
        <w:t>Main outcomes and measures: </w:t>
      </w:r>
      <w:r>
        <w:rPr>
          <w:rFonts w:ascii="Segoe UI" w:hAnsi="Segoe UI" w:cs="Segoe UI"/>
          <w:color w:val="212121"/>
        </w:rPr>
        <w:t>The Behavior Assessment System for Children for child depression and the Center for Epidemiologic Studies Depression Scale-10 for maternal depression.</w:t>
      </w:r>
    </w:p>
    <w:p w14:paraId="4CEE95F1" w14:textId="77777777" w:rsidR="00925182" w:rsidRDefault="00925182" w:rsidP="00925182">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The sample included 1801 mother-child dyads (52% boys, 48% girls). Mothers were a mean (SD) 41.6 (4.4) years old at study entry and most had completed postsecondary education (80%), had an annual income more than CAD $100 000 (75%), and were married or in common-law relationships (71.4%). Consistent cross-sectional correlations were observed, reflecting stable between-participant associations for maternal depression and child depression throughout the study period. Within-participant increases in child depression scores at ages 10.3 and 10.9 years were associated with subsequent increases in maternal depression scores at child ages 10.9 (standardized coefficient 0.12; 95% CI, 0.02-0.22) and 11.6 (0.17; 95% CI, 0.07-0.26) years; however, this was not present for maternal depression. These patterns of associations were moderated by household income (difference test for χ212 = 23.0; P = .03) and within-participant increases in child depression were consistently associated with subsequent increases in maternal depression for the higher income group.</w:t>
      </w:r>
    </w:p>
    <w:p w14:paraId="77FB225A" w14:textId="77777777" w:rsidR="00925182" w:rsidRDefault="00925182" w:rsidP="00925182">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 xml:space="preserve">Contrary to prevailing assumptions, these findings suggest that children's depression over time may have contributed to worsening maternal depression, rather than the other way around. While these results should be replicated in </w:t>
      </w:r>
      <w:proofErr w:type="spellStart"/>
      <w:r>
        <w:rPr>
          <w:rFonts w:ascii="Segoe UI" w:hAnsi="Segoe UI" w:cs="Segoe UI"/>
          <w:color w:val="212121"/>
        </w:rPr>
        <w:t>nonpandemic</w:t>
      </w:r>
      <w:proofErr w:type="spellEnd"/>
      <w:r>
        <w:rPr>
          <w:rFonts w:ascii="Segoe UI" w:hAnsi="Segoe UI" w:cs="Segoe UI"/>
          <w:color w:val="212121"/>
        </w:rPr>
        <w:t xml:space="preserve"> contexts to confirm their generalizability, they highlight the need for family-centered approaches to mental health care.</w:t>
      </w:r>
    </w:p>
    <w:p w14:paraId="1DC81A10" w14:textId="77777777" w:rsidR="00925182" w:rsidRDefault="00925182" w:rsidP="00925182">
      <w:pPr>
        <w:pStyle w:val="Heading1"/>
        <w:shd w:val="clear" w:color="auto" w:fill="FFFFFF"/>
        <w:rPr>
          <w:rFonts w:ascii="Merriweather" w:hAnsi="Merriweather"/>
          <w:color w:val="212121"/>
        </w:rPr>
      </w:pPr>
      <w:bookmarkStart w:id="2" w:name="_Toc211325127"/>
      <w:r>
        <w:rPr>
          <w:rFonts w:ascii="Merriweather" w:hAnsi="Merriweather"/>
          <w:color w:val="212121"/>
        </w:rPr>
        <w:t>Association Between Consumption of Low- and No-Calorie Artificial Sweeteners and Cognitive Decline: An 8-Year Prospective Study</w:t>
      </w:r>
      <w:bookmarkEnd w:id="2"/>
    </w:p>
    <w:p w14:paraId="209C8A17" w14:textId="77777777" w:rsidR="00925182" w:rsidRDefault="00925182" w:rsidP="00925182">
      <w:pPr>
        <w:shd w:val="clear" w:color="auto" w:fill="FFFFFF"/>
        <w:rPr>
          <w:rFonts w:ascii="Segoe UI" w:hAnsi="Segoe UI" w:cs="Segoe UI"/>
          <w:color w:val="5B616B"/>
        </w:rPr>
      </w:pPr>
    </w:p>
    <w:p w14:paraId="555F5473" w14:textId="77777777" w:rsidR="00925182" w:rsidRDefault="00925182" w:rsidP="00B35071">
      <w:pPr>
        <w:rPr>
          <w:rFonts w:ascii="Segoe UI" w:hAnsi="Segoe UI" w:cs="Segoe UI"/>
          <w:color w:val="212121"/>
          <w:shd w:val="clear" w:color="auto" w:fill="FFFFFF"/>
        </w:rPr>
      </w:pPr>
      <w:r>
        <w:rPr>
          <w:rFonts w:ascii="Segoe UI" w:hAnsi="Segoe UI" w:cs="Segoe UI"/>
          <w:color w:val="212121"/>
          <w:shd w:val="clear" w:color="auto" w:fill="FFFFFF"/>
        </w:rPr>
        <w:t xml:space="preserve">Gonçalves NG, Martinez-Steele E, </w:t>
      </w:r>
      <w:proofErr w:type="spellStart"/>
      <w:r>
        <w:rPr>
          <w:rFonts w:ascii="Segoe UI" w:hAnsi="Segoe UI" w:cs="Segoe UI"/>
          <w:color w:val="212121"/>
          <w:shd w:val="clear" w:color="auto" w:fill="FFFFFF"/>
        </w:rPr>
        <w:t>Lotufo</w:t>
      </w:r>
      <w:proofErr w:type="spellEnd"/>
      <w:r>
        <w:rPr>
          <w:rFonts w:ascii="Segoe UI" w:hAnsi="Segoe UI" w:cs="Segoe UI"/>
          <w:color w:val="212121"/>
          <w:shd w:val="clear" w:color="auto" w:fill="FFFFFF"/>
        </w:rPr>
        <w:t xml:space="preserve"> PA, </w:t>
      </w:r>
      <w:proofErr w:type="spellStart"/>
      <w:r>
        <w:rPr>
          <w:rFonts w:ascii="Segoe UI" w:hAnsi="Segoe UI" w:cs="Segoe UI"/>
          <w:color w:val="212121"/>
          <w:shd w:val="clear" w:color="auto" w:fill="FFFFFF"/>
        </w:rPr>
        <w:t>Bensenor</w:t>
      </w:r>
      <w:proofErr w:type="spellEnd"/>
      <w:r>
        <w:rPr>
          <w:rFonts w:ascii="Segoe UI" w:hAnsi="Segoe UI" w:cs="Segoe UI"/>
          <w:color w:val="212121"/>
          <w:shd w:val="clear" w:color="auto" w:fill="FFFFFF"/>
        </w:rPr>
        <w:t xml:space="preserve"> I, Goulart AC, Barreto SM, </w:t>
      </w:r>
      <w:proofErr w:type="spellStart"/>
      <w:r>
        <w:rPr>
          <w:rFonts w:ascii="Segoe UI" w:hAnsi="Segoe UI" w:cs="Segoe UI"/>
          <w:color w:val="212121"/>
          <w:shd w:val="clear" w:color="auto" w:fill="FFFFFF"/>
        </w:rPr>
        <w:t>Giatti</w:t>
      </w:r>
      <w:proofErr w:type="spellEnd"/>
      <w:r>
        <w:rPr>
          <w:rFonts w:ascii="Segoe UI" w:hAnsi="Segoe UI" w:cs="Segoe UI"/>
          <w:color w:val="212121"/>
          <w:shd w:val="clear" w:color="auto" w:fill="FFFFFF"/>
        </w:rPr>
        <w:t xml:space="preserve"> L, de Faria CP, Molina MDCB, Caramelli P, Marchioni DM, </w:t>
      </w:r>
      <w:proofErr w:type="spellStart"/>
      <w:r>
        <w:rPr>
          <w:rFonts w:ascii="Segoe UI" w:hAnsi="Segoe UI" w:cs="Segoe UI"/>
          <w:color w:val="212121"/>
          <w:shd w:val="clear" w:color="auto" w:fill="FFFFFF"/>
        </w:rPr>
        <w:t>Suemoto</w:t>
      </w:r>
      <w:proofErr w:type="spellEnd"/>
      <w:r>
        <w:rPr>
          <w:rFonts w:ascii="Segoe UI" w:hAnsi="Segoe UI" w:cs="Segoe UI"/>
          <w:color w:val="212121"/>
          <w:shd w:val="clear" w:color="auto" w:fill="FFFFFF"/>
        </w:rPr>
        <w:t xml:space="preserve"> CK. Association Between Consumption of Low- and No-Calorie Artificial Sweeteners and Cognitive Decline: An 8-Year Prospective Study. Neurology. 2025 Oct 7;105(7</w:t>
      </w:r>
      <w:proofErr w:type="gramStart"/>
      <w:r>
        <w:rPr>
          <w:rFonts w:ascii="Segoe UI" w:hAnsi="Segoe UI" w:cs="Segoe UI"/>
          <w:color w:val="212121"/>
          <w:shd w:val="clear" w:color="auto" w:fill="FFFFFF"/>
        </w:rPr>
        <w:t>):e</w:t>
      </w:r>
      <w:proofErr w:type="gramEnd"/>
      <w:r>
        <w:rPr>
          <w:rFonts w:ascii="Segoe UI" w:hAnsi="Segoe UI" w:cs="Segoe UI"/>
          <w:color w:val="212121"/>
          <w:shd w:val="clear" w:color="auto" w:fill="FFFFFF"/>
        </w:rPr>
        <w:t xml:space="preserve">214023.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10.1212/WNL.0000000000214023.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Sep 3. </w:t>
      </w:r>
      <w:hyperlink r:id="rId10" w:history="1">
        <w:r w:rsidRPr="00925182">
          <w:rPr>
            <w:rStyle w:val="Hyperlink"/>
            <w:rFonts w:ascii="Segoe UI" w:hAnsi="Segoe UI" w:cs="Segoe UI"/>
            <w:shd w:val="clear" w:color="auto" w:fill="FFFFFF"/>
          </w:rPr>
          <w:t>PMID: 40902134</w:t>
        </w:r>
      </w:hyperlink>
      <w:r>
        <w:rPr>
          <w:rFonts w:ascii="Segoe UI" w:hAnsi="Segoe UI" w:cs="Segoe UI"/>
          <w:color w:val="212121"/>
          <w:shd w:val="clear" w:color="auto" w:fill="FFFFFF"/>
        </w:rPr>
        <w:t>.</w:t>
      </w:r>
    </w:p>
    <w:p w14:paraId="14FEBFE2" w14:textId="77777777" w:rsidR="00925182" w:rsidRPr="00925182" w:rsidRDefault="00925182" w:rsidP="00925182">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925182">
        <w:rPr>
          <w:rFonts w:ascii="Segoe UI" w:eastAsia="Times New Roman" w:hAnsi="Segoe UI" w:cs="Segoe UI"/>
          <w:b/>
          <w:bCs/>
          <w:color w:val="212121"/>
          <w:sz w:val="24"/>
          <w:szCs w:val="24"/>
        </w:rPr>
        <w:t>Background and objectives: </w:t>
      </w:r>
      <w:r w:rsidRPr="00925182">
        <w:rPr>
          <w:rFonts w:ascii="Segoe UI" w:eastAsia="Times New Roman" w:hAnsi="Segoe UI" w:cs="Segoe UI"/>
          <w:color w:val="212121"/>
          <w:sz w:val="24"/>
          <w:szCs w:val="24"/>
        </w:rPr>
        <w:t>Consumption of low- and no-calorie sweeteners (LNCSs) has been associated with adverse health outcomes. However, little is known about the association between consumption of LNCSs and cognition. The aim of this study was to investigate the association between consumption of LNCSs and cognitive decline.</w:t>
      </w:r>
    </w:p>
    <w:p w14:paraId="0C13F8DA" w14:textId="77777777" w:rsidR="00925182" w:rsidRPr="00925182" w:rsidRDefault="00925182" w:rsidP="00925182">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925182">
        <w:rPr>
          <w:rFonts w:ascii="Segoe UI" w:eastAsia="Times New Roman" w:hAnsi="Segoe UI" w:cs="Segoe UI"/>
          <w:b/>
          <w:bCs/>
          <w:color w:val="212121"/>
          <w:sz w:val="24"/>
          <w:szCs w:val="24"/>
        </w:rPr>
        <w:lastRenderedPageBreak/>
        <w:t>Methods: </w:t>
      </w:r>
      <w:r w:rsidRPr="00925182">
        <w:rPr>
          <w:rFonts w:ascii="Segoe UI" w:eastAsia="Times New Roman" w:hAnsi="Segoe UI" w:cs="Segoe UI"/>
          <w:color w:val="212121"/>
          <w:sz w:val="24"/>
          <w:szCs w:val="24"/>
        </w:rPr>
        <w:t>We conducted a longitudinal observational study using data from civil servants aged 35+ years at baseline who were enrolled in the Brazilian Longitudinal Study of Adult Health and evaluated across 3 study waves (2008-10, 2012-14, and 2017-19). Participants with incomplete dietary data, extreme caloric intake (&lt;1st percentile or &gt;99th percentile), and incomplete data for cognitive tests and covariates at baseline were excluded. A Food Frequency Questionnaire was used to calculate combined and individual consumption of 7 LNCSs (aspartame, saccharin, acesulfame k, erythritol, xylitol, sorbitol, and tagatose). We estimated </w:t>
      </w:r>
      <w:r w:rsidRPr="00925182">
        <w:rPr>
          <w:rFonts w:ascii="Segoe UI" w:eastAsia="Times New Roman" w:hAnsi="Segoe UI" w:cs="Segoe UI"/>
          <w:i/>
          <w:iCs/>
          <w:color w:val="212121"/>
          <w:sz w:val="24"/>
          <w:szCs w:val="24"/>
        </w:rPr>
        <w:t>z</w:t>
      </w:r>
      <w:r w:rsidRPr="00925182">
        <w:rPr>
          <w:rFonts w:ascii="Segoe UI" w:eastAsia="Times New Roman" w:hAnsi="Segoe UI" w:cs="Segoe UI"/>
          <w:color w:val="212121"/>
          <w:sz w:val="24"/>
          <w:szCs w:val="24"/>
        </w:rPr>
        <w:t>-scores across 6 cognitive tests. The association of LNCSs with cognitive decline was evaluated using linear mixed-effects models.</w:t>
      </w:r>
    </w:p>
    <w:p w14:paraId="753E7C10" w14:textId="77777777" w:rsidR="00925182" w:rsidRPr="00925182" w:rsidRDefault="00925182" w:rsidP="00925182">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925182">
        <w:rPr>
          <w:rFonts w:ascii="Segoe UI" w:eastAsia="Times New Roman" w:hAnsi="Segoe UI" w:cs="Segoe UI"/>
          <w:b/>
          <w:bCs/>
          <w:color w:val="212121"/>
          <w:sz w:val="24"/>
          <w:szCs w:val="24"/>
        </w:rPr>
        <w:t>Results: </w:t>
      </w:r>
      <w:r w:rsidRPr="00925182">
        <w:rPr>
          <w:rFonts w:ascii="Segoe UI" w:eastAsia="Times New Roman" w:hAnsi="Segoe UI" w:cs="Segoe UI"/>
          <w:color w:val="212121"/>
          <w:sz w:val="24"/>
          <w:szCs w:val="24"/>
        </w:rPr>
        <w:t>Among 12,772 participants (mean age 51.9 ± 9.0 years, 54.8% women, 43.2% Black/mixed race), the mean consumption of LNCSs was 92.1 ± 90.1 mg/d. Among participants aged younger than 60 years, consumption of combined LNCSs in the highest tertiles was associated with a faster decline in verbal fluency (second tertile: β = -0.016, 95% CI -0.040 to -0.008; third tertile: β = -0.040, 95% CI -0.064 to -0.016) and global cognition (second tertile: β = -0.008, 95% CI -0.024 to 0.008; third tertile: β = -0.024, 95% CI -0.040 to -0.008). There was no association between tertiles of LNCSs and cognitive decline in participants aged 60+ years. Consumption of aspartame, saccharin, acesulfame k, erythritol, sorbitol, and xylitol was associated with a faster decline in global cognition, particularly in memory and verbal fluency domains. Consumption of combined LNCSs in the highest tertiles was associated with a faster decline in verbal fluency and global cognition in participants without diabetes and faster decline in memory and global cognition in participants with diabetes.</w:t>
      </w:r>
    </w:p>
    <w:p w14:paraId="792A6CD7" w14:textId="77777777" w:rsidR="00925182" w:rsidRPr="00925182" w:rsidRDefault="00925182" w:rsidP="00925182">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925182">
        <w:rPr>
          <w:rFonts w:ascii="Segoe UI" w:eastAsia="Times New Roman" w:hAnsi="Segoe UI" w:cs="Segoe UI"/>
          <w:b/>
          <w:bCs/>
          <w:color w:val="212121"/>
          <w:sz w:val="24"/>
          <w:szCs w:val="24"/>
        </w:rPr>
        <w:t>Discussion: </w:t>
      </w:r>
      <w:r w:rsidRPr="00925182">
        <w:rPr>
          <w:rFonts w:ascii="Segoe UI" w:eastAsia="Times New Roman" w:hAnsi="Segoe UI" w:cs="Segoe UI"/>
          <w:color w:val="212121"/>
          <w:sz w:val="24"/>
          <w:szCs w:val="24"/>
        </w:rPr>
        <w:t>Consumption of LNCSs was associated with an accelerated rate of cognitive decline during 8 years of follow-up. Our findings suggest the possibility of long-term harm from LNCS consumption, particularly artificial LNCSs and sugar alcohols, on cognitive function. Study limitations include self-reported dietary data, selection bias from attrition, and residual confounding from co-occurring health behaviors.</w:t>
      </w:r>
    </w:p>
    <w:p w14:paraId="698DDB1F" w14:textId="77777777" w:rsidR="001810E1" w:rsidRDefault="001810E1" w:rsidP="001810E1">
      <w:pPr>
        <w:pStyle w:val="Heading1"/>
        <w:shd w:val="clear" w:color="auto" w:fill="FFFFFF"/>
        <w:rPr>
          <w:rFonts w:ascii="Merriweather" w:hAnsi="Merriweather"/>
          <w:color w:val="212121"/>
        </w:rPr>
      </w:pPr>
      <w:bookmarkStart w:id="3" w:name="_Toc211325128"/>
      <w:r>
        <w:rPr>
          <w:rFonts w:ascii="Merriweather" w:hAnsi="Merriweather"/>
          <w:color w:val="212121"/>
        </w:rPr>
        <w:t>Clinical management of major depressive disorder with comorbid obesity</w:t>
      </w:r>
      <w:bookmarkEnd w:id="3"/>
    </w:p>
    <w:p w14:paraId="38248CE7" w14:textId="77777777" w:rsidR="001810E1" w:rsidRDefault="001810E1" w:rsidP="00B35071">
      <w:pPr>
        <w:spacing w:after="0" w:line="240" w:lineRule="auto"/>
        <w:textAlignment w:val="baseline"/>
        <w:rPr>
          <w:rFonts w:ascii="Calibri" w:eastAsia="Times New Roman" w:hAnsi="Calibri" w:cs="Calibri"/>
          <w:color w:val="000000"/>
        </w:rPr>
      </w:pPr>
    </w:p>
    <w:p w14:paraId="7965CB9A" w14:textId="341C66A2" w:rsidR="001810E1" w:rsidRDefault="001810E1"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Opel N, Hanssen R, Steinmann LA, Foerster J, Köhler-Forsberg O, Hahn M, Ferretti F, Palmer C, </w:t>
      </w:r>
      <w:proofErr w:type="spellStart"/>
      <w:r>
        <w:rPr>
          <w:rFonts w:ascii="Segoe UI" w:hAnsi="Segoe UI" w:cs="Segoe UI"/>
          <w:color w:val="212121"/>
          <w:shd w:val="clear" w:color="auto" w:fill="FFFFFF"/>
        </w:rPr>
        <w:t>Penninx</w:t>
      </w:r>
      <w:proofErr w:type="spellEnd"/>
      <w:r>
        <w:rPr>
          <w:rFonts w:ascii="Segoe UI" w:hAnsi="Segoe UI" w:cs="Segoe UI"/>
          <w:color w:val="212121"/>
          <w:shd w:val="clear" w:color="auto" w:fill="FFFFFF"/>
        </w:rPr>
        <w:t xml:space="preserve"> BWJH, Gold SM, Reif A, Otte C, Edwin Thanarajah S. Clinical management of major depressive disorder with comorbid obesity. Lancet Psychiatry. 2025 Oct;12(10):780-794.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10.1016/S2215-0366(25)00193-2.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Aug 28. </w:t>
      </w:r>
      <w:hyperlink r:id="rId11" w:history="1">
        <w:r w:rsidRPr="001810E1">
          <w:rPr>
            <w:rStyle w:val="Hyperlink"/>
            <w:rFonts w:ascii="Segoe UI" w:hAnsi="Segoe UI" w:cs="Segoe UI"/>
            <w:shd w:val="clear" w:color="auto" w:fill="FFFFFF"/>
          </w:rPr>
          <w:t>PMID: 40886717</w:t>
        </w:r>
      </w:hyperlink>
      <w:r>
        <w:rPr>
          <w:rFonts w:ascii="Segoe UI" w:hAnsi="Segoe UI" w:cs="Segoe UI"/>
          <w:color w:val="212121"/>
          <w:shd w:val="clear" w:color="auto" w:fill="FFFFFF"/>
        </w:rPr>
        <w:t>.</w:t>
      </w:r>
    </w:p>
    <w:p w14:paraId="73B3A85A" w14:textId="77777777" w:rsidR="001810E1" w:rsidRDefault="001810E1" w:rsidP="00B35071">
      <w:pPr>
        <w:spacing w:after="0" w:line="240" w:lineRule="auto"/>
        <w:textAlignment w:val="baseline"/>
        <w:rPr>
          <w:rFonts w:ascii="Segoe UI" w:hAnsi="Segoe UI" w:cs="Segoe UI"/>
          <w:color w:val="212121"/>
          <w:shd w:val="clear" w:color="auto" w:fill="FFFFFF"/>
        </w:rPr>
      </w:pPr>
    </w:p>
    <w:p w14:paraId="3DC2732A" w14:textId="7CAA0408" w:rsidR="001810E1" w:rsidRDefault="001810E1"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Obesity is one of the most prevalent somatic comorbidities in individuals with major depressive disorder and greatly affects the course and prognosis of that disorder. The bidirectional </w:t>
      </w:r>
      <w:r>
        <w:rPr>
          <w:rFonts w:ascii="Segoe UI" w:hAnsi="Segoe UI" w:cs="Segoe UI"/>
          <w:color w:val="212121"/>
          <w:shd w:val="clear" w:color="auto" w:fill="FFFFFF"/>
        </w:rPr>
        <w:lastRenderedPageBreak/>
        <w:t xml:space="preserve">relationship between major depressive disorder and obesity often creates a feedback cycle that challenges both patients and health-care providers. Gaps in interdisciplinary collaboration and limitations in knowledge transfer hinder the effective management of this patient population. This narrative Review </w:t>
      </w:r>
      <w:proofErr w:type="spellStart"/>
      <w:r>
        <w:rPr>
          <w:rFonts w:ascii="Segoe UI" w:hAnsi="Segoe UI" w:cs="Segoe UI"/>
          <w:color w:val="212121"/>
          <w:shd w:val="clear" w:color="auto" w:fill="FFFFFF"/>
        </w:rPr>
        <w:t>synthesises</w:t>
      </w:r>
      <w:proofErr w:type="spellEnd"/>
      <w:r>
        <w:rPr>
          <w:rFonts w:ascii="Segoe UI" w:hAnsi="Segoe UI" w:cs="Segoe UI"/>
          <w:color w:val="212121"/>
          <w:shd w:val="clear" w:color="auto" w:fill="FFFFFF"/>
        </w:rPr>
        <w:t xml:space="preserve"> current evidence from obesity and major depressive disorder research, offering a comprehensive risk stratification and monitoring framework that integrates psychological and metabolic parameters to enhance clinical decision making. We examine the latest evidence on pharmacological and psychotherapeutic interventions as well as lifestyle-based strategies-such as exercise, dietary modifications, and weight-loss medications-with the aim of alleviating depressive symptoms while supporting weight management and improving metabolic health. Bariatric surgery, which is a key component in obesity management, is not covered in this Review. Finally, we highlight the crucial need for an integrated, interdisciplinary treatment approach and provide practical guidance for </w:t>
      </w:r>
      <w:proofErr w:type="spellStart"/>
      <w:r>
        <w:rPr>
          <w:rFonts w:ascii="Segoe UI" w:hAnsi="Segoe UI" w:cs="Segoe UI"/>
          <w:color w:val="212121"/>
          <w:shd w:val="clear" w:color="auto" w:fill="FFFFFF"/>
        </w:rPr>
        <w:t>optimising</w:t>
      </w:r>
      <w:proofErr w:type="spellEnd"/>
      <w:r>
        <w:rPr>
          <w:rFonts w:ascii="Segoe UI" w:hAnsi="Segoe UI" w:cs="Segoe UI"/>
          <w:color w:val="212121"/>
          <w:shd w:val="clear" w:color="auto" w:fill="FFFFFF"/>
        </w:rPr>
        <w:t xml:space="preserve"> care to improve outcomes for individuals with major depressive disorder and comorbid obesity.</w:t>
      </w:r>
    </w:p>
    <w:p w14:paraId="4592CDD5" w14:textId="77777777" w:rsidR="001810E1" w:rsidRDefault="001810E1" w:rsidP="00B35071">
      <w:pPr>
        <w:spacing w:after="0" w:line="240" w:lineRule="auto"/>
        <w:textAlignment w:val="baseline"/>
        <w:rPr>
          <w:rFonts w:ascii="Calibri" w:eastAsia="Times New Roman" w:hAnsi="Calibri" w:cs="Calibri"/>
          <w:color w:val="000000"/>
        </w:rPr>
      </w:pPr>
    </w:p>
    <w:p w14:paraId="0ABA041F" w14:textId="77777777" w:rsidR="001810E1" w:rsidRDefault="001810E1" w:rsidP="00B35071">
      <w:pPr>
        <w:spacing w:after="0" w:line="240" w:lineRule="auto"/>
        <w:textAlignment w:val="baseline"/>
        <w:rPr>
          <w:rFonts w:ascii="Calibri" w:eastAsia="Times New Roman" w:hAnsi="Calibri" w:cs="Calibri"/>
          <w:color w:val="000000"/>
        </w:rPr>
      </w:pPr>
    </w:p>
    <w:p w14:paraId="13341A1C" w14:textId="77777777" w:rsidR="00DE7F19" w:rsidRDefault="00DE7F19" w:rsidP="00DE7F19">
      <w:pPr>
        <w:pStyle w:val="Heading1"/>
        <w:shd w:val="clear" w:color="auto" w:fill="FFFFFF"/>
        <w:rPr>
          <w:rFonts w:ascii="Merriweather" w:hAnsi="Merriweather"/>
          <w:color w:val="212121"/>
        </w:rPr>
      </w:pPr>
      <w:bookmarkStart w:id="4" w:name="_Toc211325129"/>
      <w:r>
        <w:rPr>
          <w:rFonts w:ascii="Merriweather" w:hAnsi="Merriweather"/>
          <w:color w:val="212121"/>
        </w:rPr>
        <w:t>Reduced Brain Iron and Striatal Hyperdopaminergia in Schizophrenia: A Quantitative Susceptibility Mapping MRI and PET Study</w:t>
      </w:r>
      <w:bookmarkEnd w:id="4"/>
    </w:p>
    <w:p w14:paraId="5369F767" w14:textId="77777777" w:rsidR="00DE7F19" w:rsidRDefault="00DE7F19" w:rsidP="00B35071">
      <w:pPr>
        <w:spacing w:after="0" w:line="240" w:lineRule="auto"/>
        <w:textAlignment w:val="baseline"/>
        <w:rPr>
          <w:rFonts w:ascii="Calibri" w:eastAsia="Times New Roman" w:hAnsi="Calibri" w:cs="Calibri"/>
          <w:color w:val="000000"/>
        </w:rPr>
      </w:pPr>
    </w:p>
    <w:p w14:paraId="5AF4C299" w14:textId="6D5E8B02" w:rsidR="00DE7F19" w:rsidRDefault="00DE7F19"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Vano LJ, McCutcheon RA, </w:t>
      </w:r>
      <w:proofErr w:type="spellStart"/>
      <w:r>
        <w:rPr>
          <w:rFonts w:ascii="Segoe UI" w:hAnsi="Segoe UI" w:cs="Segoe UI"/>
          <w:color w:val="212121"/>
          <w:shd w:val="clear" w:color="auto" w:fill="FFFFFF"/>
        </w:rPr>
        <w:t>Sedlacik</w:t>
      </w:r>
      <w:proofErr w:type="spellEnd"/>
      <w:r>
        <w:rPr>
          <w:rFonts w:ascii="Segoe UI" w:hAnsi="Segoe UI" w:cs="Segoe UI"/>
          <w:color w:val="212121"/>
          <w:shd w:val="clear" w:color="auto" w:fill="FFFFFF"/>
        </w:rPr>
        <w:t xml:space="preserve"> J, Kaar SJ, Rutigliano G, </w:t>
      </w:r>
      <w:proofErr w:type="spellStart"/>
      <w:r>
        <w:rPr>
          <w:rFonts w:ascii="Segoe UI" w:hAnsi="Segoe UI" w:cs="Segoe UI"/>
          <w:color w:val="212121"/>
          <w:shd w:val="clear" w:color="auto" w:fill="FFFFFF"/>
        </w:rPr>
        <w:t>Nordio</w:t>
      </w:r>
      <w:proofErr w:type="spellEnd"/>
      <w:r>
        <w:rPr>
          <w:rFonts w:ascii="Segoe UI" w:hAnsi="Segoe UI" w:cs="Segoe UI"/>
          <w:color w:val="212121"/>
          <w:shd w:val="clear" w:color="auto" w:fill="FFFFFF"/>
        </w:rPr>
        <w:t xml:space="preserve"> G, Finelli V, Townsend L, Berry A, Statton B, Fazlollahi A, Veronese M, Hopkins SC, </w:t>
      </w:r>
      <w:proofErr w:type="spellStart"/>
      <w:r>
        <w:rPr>
          <w:rFonts w:ascii="Segoe UI" w:hAnsi="Segoe UI" w:cs="Segoe UI"/>
          <w:color w:val="212121"/>
          <w:shd w:val="clear" w:color="auto" w:fill="FFFFFF"/>
        </w:rPr>
        <w:t>Koblan</w:t>
      </w:r>
      <w:proofErr w:type="spellEnd"/>
      <w:r>
        <w:rPr>
          <w:rFonts w:ascii="Segoe UI" w:hAnsi="Segoe UI" w:cs="Segoe UI"/>
          <w:color w:val="212121"/>
          <w:shd w:val="clear" w:color="auto" w:fill="FFFFFF"/>
        </w:rPr>
        <w:t xml:space="preserve"> KS, Everall IP, Howes OD. Reduced Brain Iron and Striatal </w:t>
      </w:r>
      <w:proofErr w:type="spellStart"/>
      <w:r>
        <w:rPr>
          <w:rFonts w:ascii="Segoe UI" w:hAnsi="Segoe UI" w:cs="Segoe UI"/>
          <w:color w:val="212121"/>
          <w:shd w:val="clear" w:color="auto" w:fill="FFFFFF"/>
        </w:rPr>
        <w:t>Hyperdopaminergia</w:t>
      </w:r>
      <w:proofErr w:type="spellEnd"/>
      <w:r>
        <w:rPr>
          <w:rFonts w:ascii="Segoe UI" w:hAnsi="Segoe UI" w:cs="Segoe UI"/>
          <w:color w:val="212121"/>
          <w:shd w:val="clear" w:color="auto" w:fill="FFFFFF"/>
        </w:rPr>
        <w:t xml:space="preserve"> in Schizophrenia: A Quantitative Susceptibility Mapping MRI and PET Study. Am J Psychiatry. 2025 Sep 1;182(9):830-839.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10.1176/appi.ajp.20240512. </w:t>
      </w:r>
      <w:hyperlink r:id="rId12" w:history="1">
        <w:r w:rsidRPr="00DE7F19">
          <w:rPr>
            <w:rStyle w:val="Hyperlink"/>
            <w:rFonts w:ascii="Segoe UI" w:hAnsi="Segoe UI" w:cs="Segoe UI"/>
            <w:shd w:val="clear" w:color="auto" w:fill="FFFFFF"/>
          </w:rPr>
          <w:t>PMID: 40887951</w:t>
        </w:r>
      </w:hyperlink>
      <w:r>
        <w:rPr>
          <w:rFonts w:ascii="Segoe UI" w:hAnsi="Segoe UI" w:cs="Segoe UI"/>
          <w:color w:val="212121"/>
          <w:shd w:val="clear" w:color="auto" w:fill="FFFFFF"/>
        </w:rPr>
        <w:t>; PMCID: PMC7618194.</w:t>
      </w:r>
    </w:p>
    <w:p w14:paraId="4444EA51" w14:textId="77777777" w:rsidR="00DE7F19" w:rsidRDefault="00DE7F19" w:rsidP="00B35071">
      <w:pPr>
        <w:spacing w:after="0" w:line="240" w:lineRule="auto"/>
        <w:textAlignment w:val="baseline"/>
        <w:rPr>
          <w:rFonts w:ascii="Segoe UI" w:hAnsi="Segoe UI" w:cs="Segoe UI"/>
          <w:color w:val="212121"/>
          <w:shd w:val="clear" w:color="auto" w:fill="FFFFFF"/>
        </w:rPr>
      </w:pPr>
    </w:p>
    <w:p w14:paraId="320127F3"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 xml:space="preserve">Neuroimaging studies have independently associated schizophrenia with low iron and elevated dopamine synthesis. While preclinical research demonstrates that midbrain iron deficiency leads to striatal </w:t>
      </w:r>
      <w:proofErr w:type="spellStart"/>
      <w:r>
        <w:rPr>
          <w:rFonts w:ascii="Segoe UI" w:hAnsi="Segoe UI" w:cs="Segoe UI"/>
          <w:color w:val="212121"/>
        </w:rPr>
        <w:t>hyperdopaminergia</w:t>
      </w:r>
      <w:proofErr w:type="spellEnd"/>
      <w:r>
        <w:rPr>
          <w:rFonts w:ascii="Segoe UI" w:hAnsi="Segoe UI" w:cs="Segoe UI"/>
          <w:color w:val="212121"/>
        </w:rPr>
        <w:t>, this relationship has not been studied in schizophrenia. The authors conducted a case-control study to examine differences in tissue magnetic susceptibility, a marker of brain iron, and correlated these with striatal dopamine synthesis capacity.</w:t>
      </w:r>
    </w:p>
    <w:p w14:paraId="7166617A"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Magnetic susceptibility in the substantia nigra and ventral tegmental area (SN-VTA) was measured using quantitative susceptibility mapping (QSM) MRI in 159 participants (control subjects, N=80; early-course schizophrenia, N=79, including patients who were antipsychotic-naïve or antipsychotic-free). Because magnetic susceptibility is increased by neuromelanin and reduced by myelin, neuromelanin-sensitive MRI (NM-MRI) and diffusion tensor imaging (DTI) were employed to investigate the influence of neuromelanin and myelin on the QSM findings in 99 participants (control subjects, N=38; schizophrenia patients, N=61). Dopamine synthesis capacity (K</w:t>
      </w:r>
      <w:r>
        <w:rPr>
          <w:rFonts w:ascii="Segoe UI" w:hAnsi="Segoe UI" w:cs="Segoe UI"/>
          <w:color w:val="212121"/>
          <w:sz w:val="18"/>
          <w:szCs w:val="18"/>
          <w:vertAlign w:val="subscript"/>
        </w:rPr>
        <w:t>i</w:t>
      </w:r>
      <w:r>
        <w:rPr>
          <w:rFonts w:ascii="Segoe UI" w:hAnsi="Segoe UI" w:cs="Segoe UI"/>
          <w:color w:val="212121"/>
        </w:rPr>
        <w:t> </w:t>
      </w:r>
      <w:proofErr w:type="spellStart"/>
      <w:r>
        <w:rPr>
          <w:rFonts w:ascii="Segoe UI" w:hAnsi="Segoe UI" w:cs="Segoe UI"/>
          <w:color w:val="212121"/>
          <w:sz w:val="18"/>
          <w:szCs w:val="18"/>
          <w:vertAlign w:val="superscript"/>
        </w:rPr>
        <w:t>cer</w:t>
      </w:r>
      <w:proofErr w:type="spellEnd"/>
      <w:r>
        <w:rPr>
          <w:rFonts w:ascii="Segoe UI" w:hAnsi="Segoe UI" w:cs="Segoe UI"/>
          <w:color w:val="212121"/>
        </w:rPr>
        <w:t>) was then assessed with [</w:t>
      </w:r>
      <w:r>
        <w:rPr>
          <w:rFonts w:ascii="Segoe UI" w:hAnsi="Segoe UI" w:cs="Segoe UI"/>
          <w:color w:val="212121"/>
          <w:sz w:val="18"/>
          <w:szCs w:val="18"/>
          <w:vertAlign w:val="superscript"/>
        </w:rPr>
        <w:t>18</w:t>
      </w:r>
      <w:r>
        <w:rPr>
          <w:rFonts w:ascii="Segoe UI" w:hAnsi="Segoe UI" w:cs="Segoe UI"/>
          <w:color w:val="212121"/>
        </w:rPr>
        <w:t xml:space="preserve">F]-DOPA positron emission tomography in 40 </w:t>
      </w:r>
      <w:r>
        <w:rPr>
          <w:rFonts w:ascii="Segoe UI" w:hAnsi="Segoe UI" w:cs="Segoe UI"/>
          <w:color w:val="212121"/>
        </w:rPr>
        <w:lastRenderedPageBreak/>
        <w:t>people from the schizophrenia group to test whether low SN-VTA magnetic susceptibility was related to high striatal K</w:t>
      </w:r>
      <w:r>
        <w:rPr>
          <w:rFonts w:ascii="Segoe UI" w:hAnsi="Segoe UI" w:cs="Segoe UI"/>
          <w:color w:val="212121"/>
          <w:sz w:val="18"/>
          <w:szCs w:val="18"/>
          <w:vertAlign w:val="subscript"/>
        </w:rPr>
        <w:t>i</w:t>
      </w:r>
      <w:r>
        <w:rPr>
          <w:rFonts w:ascii="Segoe UI" w:hAnsi="Segoe UI" w:cs="Segoe UI"/>
          <w:color w:val="212121"/>
        </w:rPr>
        <w:t> </w:t>
      </w:r>
      <w:proofErr w:type="spellStart"/>
      <w:r>
        <w:rPr>
          <w:rFonts w:ascii="Segoe UI" w:hAnsi="Segoe UI" w:cs="Segoe UI"/>
          <w:color w:val="212121"/>
          <w:sz w:val="18"/>
          <w:szCs w:val="18"/>
          <w:vertAlign w:val="superscript"/>
        </w:rPr>
        <w:t>cer</w:t>
      </w:r>
      <w:proofErr w:type="spellEnd"/>
      <w:r>
        <w:rPr>
          <w:rFonts w:ascii="Segoe UI" w:hAnsi="Segoe UI" w:cs="Segoe UI"/>
          <w:color w:val="212121"/>
        </w:rPr>
        <w:t>.</w:t>
      </w:r>
    </w:p>
    <w:p w14:paraId="7FB67B1B"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SN-VTA magnetic susceptibility was lower in patients with schizophrenia than in control subjects (d=-0.66, 95% CI=-0.98, -0.34). This difference remained significant in analyses controlling for mean diffusivity (a DTI measure inversely correlating with myelin concentration) and NM-MRI contrast-to-noise ratios. SN-VTA magnetic susceptibility was significantly inversely correlated with striatal K</w:t>
      </w:r>
      <w:r>
        <w:rPr>
          <w:rFonts w:ascii="Segoe UI" w:hAnsi="Segoe UI" w:cs="Segoe UI"/>
          <w:color w:val="212121"/>
          <w:sz w:val="18"/>
          <w:szCs w:val="18"/>
          <w:vertAlign w:val="subscript"/>
        </w:rPr>
        <w:t>i</w:t>
      </w:r>
      <w:r>
        <w:rPr>
          <w:rFonts w:ascii="Segoe UI" w:hAnsi="Segoe UI" w:cs="Segoe UI"/>
          <w:color w:val="212121"/>
        </w:rPr>
        <w:t> </w:t>
      </w:r>
      <w:proofErr w:type="spellStart"/>
      <w:r>
        <w:rPr>
          <w:rFonts w:ascii="Segoe UI" w:hAnsi="Segoe UI" w:cs="Segoe UI"/>
          <w:color w:val="212121"/>
          <w:sz w:val="18"/>
          <w:szCs w:val="18"/>
          <w:vertAlign w:val="superscript"/>
        </w:rPr>
        <w:t>cer</w:t>
      </w:r>
      <w:proofErr w:type="spellEnd"/>
      <w:r>
        <w:rPr>
          <w:rFonts w:ascii="Segoe UI" w:hAnsi="Segoe UI" w:cs="Segoe UI"/>
          <w:color w:val="212121"/>
        </w:rPr>
        <w:t>, independent of mean diffusivity and NM-MRI contrast-to-noise ratios (r=-0.44). In both analyses, the strongest effects were observed in the ventral SN-VTA.</w:t>
      </w:r>
    </w:p>
    <w:p w14:paraId="169DA955"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 xml:space="preserve">These findings suggest that lower levels of non-neuromelanin-bound iron in the SN-VTA contribute to striatal </w:t>
      </w:r>
      <w:proofErr w:type="spellStart"/>
      <w:r>
        <w:rPr>
          <w:rFonts w:ascii="Segoe UI" w:hAnsi="Segoe UI" w:cs="Segoe UI"/>
          <w:color w:val="212121"/>
        </w:rPr>
        <w:t>hyperdopaminergia</w:t>
      </w:r>
      <w:proofErr w:type="spellEnd"/>
      <w:r>
        <w:rPr>
          <w:rFonts w:ascii="Segoe UI" w:hAnsi="Segoe UI" w:cs="Segoe UI"/>
          <w:color w:val="212121"/>
        </w:rPr>
        <w:t xml:space="preserve"> in schizophrenia. Further investigation is warranted to understand the role of low iron in schizophrenia and its potential as a treatment target.</w:t>
      </w:r>
    </w:p>
    <w:p w14:paraId="47C8121B" w14:textId="77777777" w:rsidR="00DE7F19" w:rsidRDefault="00DE7F19" w:rsidP="00DE7F19">
      <w:pPr>
        <w:pStyle w:val="Heading1"/>
        <w:shd w:val="clear" w:color="auto" w:fill="FFFFFF"/>
        <w:rPr>
          <w:rFonts w:ascii="Merriweather" w:hAnsi="Merriweather"/>
          <w:color w:val="212121"/>
        </w:rPr>
      </w:pPr>
      <w:bookmarkStart w:id="5" w:name="_Toc211325130"/>
      <w:r>
        <w:rPr>
          <w:rFonts w:ascii="Merriweather" w:hAnsi="Merriweather"/>
          <w:color w:val="212121"/>
        </w:rPr>
        <w:t>Neighborhood Social Vulnerability and Racial Disparities in Schizophrenia Spectrum Disorder Prevalence</w:t>
      </w:r>
      <w:bookmarkEnd w:id="5"/>
    </w:p>
    <w:p w14:paraId="48732BC6" w14:textId="77777777" w:rsidR="00DE7F19" w:rsidRDefault="00DE7F19" w:rsidP="00B35071">
      <w:pPr>
        <w:spacing w:after="0" w:line="240" w:lineRule="auto"/>
        <w:textAlignment w:val="baseline"/>
        <w:rPr>
          <w:rFonts w:ascii="Segoe UI" w:hAnsi="Segoe UI" w:cs="Segoe UI"/>
          <w:color w:val="212121"/>
          <w:shd w:val="clear" w:color="auto" w:fill="FFFFFF"/>
        </w:rPr>
      </w:pPr>
    </w:p>
    <w:p w14:paraId="47C454AF" w14:textId="639FC219" w:rsidR="00DE7F19" w:rsidRDefault="00DE7F19"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Anglin DM, </w:t>
      </w:r>
      <w:proofErr w:type="spellStart"/>
      <w:r>
        <w:rPr>
          <w:rFonts w:ascii="Segoe UI" w:hAnsi="Segoe UI" w:cs="Segoe UI"/>
          <w:color w:val="212121"/>
          <w:shd w:val="clear" w:color="auto" w:fill="FFFFFF"/>
        </w:rPr>
        <w:t>Olfson</w:t>
      </w:r>
      <w:proofErr w:type="spellEnd"/>
      <w:r>
        <w:rPr>
          <w:rFonts w:ascii="Segoe UI" w:hAnsi="Segoe UI" w:cs="Segoe UI"/>
          <w:color w:val="212121"/>
          <w:shd w:val="clear" w:color="auto" w:fill="FFFFFF"/>
        </w:rPr>
        <w:t xml:space="preserve"> M, van der Ven E, Oh H, Lewis-Fernández R, </w:t>
      </w:r>
      <w:proofErr w:type="spellStart"/>
      <w:r>
        <w:rPr>
          <w:rFonts w:ascii="Segoe UI" w:hAnsi="Segoe UI" w:cs="Segoe UI"/>
          <w:color w:val="212121"/>
          <w:shd w:val="clear" w:color="auto" w:fill="FFFFFF"/>
        </w:rPr>
        <w:t>DeVylder</w:t>
      </w:r>
      <w:proofErr w:type="spellEnd"/>
      <w:r>
        <w:rPr>
          <w:rFonts w:ascii="Segoe UI" w:hAnsi="Segoe UI" w:cs="Segoe UI"/>
          <w:color w:val="212121"/>
          <w:shd w:val="clear" w:color="auto" w:fill="FFFFFF"/>
        </w:rPr>
        <w:t xml:space="preserve"> J, </w:t>
      </w:r>
      <w:proofErr w:type="spellStart"/>
      <w:r>
        <w:rPr>
          <w:rFonts w:ascii="Segoe UI" w:hAnsi="Segoe UI" w:cs="Segoe UI"/>
          <w:color w:val="212121"/>
          <w:shd w:val="clear" w:color="auto" w:fill="FFFFFF"/>
        </w:rPr>
        <w:t>Oluwoye</w:t>
      </w:r>
      <w:proofErr w:type="spellEnd"/>
      <w:r>
        <w:rPr>
          <w:rFonts w:ascii="Segoe UI" w:hAnsi="Segoe UI" w:cs="Segoe UI"/>
          <w:color w:val="212121"/>
          <w:shd w:val="clear" w:color="auto" w:fill="FFFFFF"/>
        </w:rPr>
        <w:t xml:space="preserve"> O, Dixon L, Stroup TS, Guyer H, Bareis N. Neighborhood Social Vulnerability and Racial Disparities in Schizophrenia Spectrum Disorder Prevalence. Am J Psychiatry. 2025 Sep 1;182(9):850-860.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10.1176/appi.ajp.20240906. </w:t>
      </w:r>
      <w:hyperlink r:id="rId13" w:history="1">
        <w:r w:rsidRPr="00DE7F19">
          <w:rPr>
            <w:rStyle w:val="Hyperlink"/>
            <w:rFonts w:ascii="Segoe UI" w:hAnsi="Segoe UI" w:cs="Segoe UI"/>
            <w:shd w:val="clear" w:color="auto" w:fill="FFFFFF"/>
          </w:rPr>
          <w:t>PMID: 40887946</w:t>
        </w:r>
      </w:hyperlink>
      <w:r>
        <w:rPr>
          <w:rFonts w:ascii="Segoe UI" w:hAnsi="Segoe UI" w:cs="Segoe UI"/>
          <w:color w:val="212121"/>
          <w:shd w:val="clear" w:color="auto" w:fill="FFFFFF"/>
        </w:rPr>
        <w:t>; PMCID: PMC12404665.</w:t>
      </w:r>
    </w:p>
    <w:p w14:paraId="4A214D3C" w14:textId="77777777" w:rsidR="00DE7F19" w:rsidRDefault="00DE7F19" w:rsidP="00B35071">
      <w:pPr>
        <w:spacing w:after="0" w:line="240" w:lineRule="auto"/>
        <w:textAlignment w:val="baseline"/>
        <w:rPr>
          <w:rFonts w:ascii="Calibri" w:eastAsia="Times New Roman" w:hAnsi="Calibri" w:cs="Calibri"/>
          <w:color w:val="000000"/>
        </w:rPr>
      </w:pPr>
    </w:p>
    <w:p w14:paraId="5CE5DCBE" w14:textId="77777777" w:rsidR="00DE7F19" w:rsidRPr="00DE7F19" w:rsidRDefault="00DE7F19" w:rsidP="00DE7F19">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DE7F19">
        <w:rPr>
          <w:rFonts w:ascii="Segoe UI" w:eastAsia="Times New Roman" w:hAnsi="Segoe UI" w:cs="Segoe UI"/>
          <w:b/>
          <w:bCs/>
          <w:color w:val="212121"/>
          <w:sz w:val="24"/>
          <w:szCs w:val="24"/>
        </w:rPr>
        <w:t>Objective: </w:t>
      </w:r>
      <w:r w:rsidRPr="00DE7F19">
        <w:rPr>
          <w:rFonts w:ascii="Segoe UI" w:eastAsia="Times New Roman" w:hAnsi="Segoe UI" w:cs="Segoe UI"/>
          <w:color w:val="212121"/>
          <w:sz w:val="24"/>
          <w:szCs w:val="24"/>
        </w:rPr>
        <w:t xml:space="preserve">The study aim was to identify </w:t>
      </w:r>
      <w:proofErr w:type="spellStart"/>
      <w:r w:rsidRPr="00DE7F19">
        <w:rPr>
          <w:rFonts w:ascii="Segoe UI" w:eastAsia="Times New Roman" w:hAnsi="Segoe UI" w:cs="Segoe UI"/>
          <w:color w:val="212121"/>
          <w:sz w:val="24"/>
          <w:szCs w:val="24"/>
        </w:rPr>
        <w:t>ethnoracial</w:t>
      </w:r>
      <w:proofErr w:type="spellEnd"/>
      <w:r w:rsidRPr="00DE7F19">
        <w:rPr>
          <w:rFonts w:ascii="Segoe UI" w:eastAsia="Times New Roman" w:hAnsi="Segoe UI" w:cs="Segoe UI"/>
          <w:color w:val="212121"/>
          <w:sz w:val="24"/>
          <w:szCs w:val="24"/>
        </w:rPr>
        <w:t xml:space="preserve"> disparities in the prevalence of schizophrenia spectrum disorders (SSDs) and positive psychotic symptoms in the United States and examine the role of social neighborhood inequities.</w:t>
      </w:r>
    </w:p>
    <w:p w14:paraId="795255A3" w14:textId="77777777" w:rsidR="00DE7F19" w:rsidRPr="00DE7F19" w:rsidRDefault="00DE7F19" w:rsidP="00DE7F19">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DE7F19">
        <w:rPr>
          <w:rFonts w:ascii="Segoe UI" w:eastAsia="Times New Roman" w:hAnsi="Segoe UI" w:cs="Segoe UI"/>
          <w:b/>
          <w:bCs/>
          <w:color w:val="212121"/>
          <w:sz w:val="24"/>
          <w:szCs w:val="24"/>
        </w:rPr>
        <w:t>Methods: </w:t>
      </w:r>
      <w:r w:rsidRPr="00DE7F19">
        <w:rPr>
          <w:rFonts w:ascii="Segoe UI" w:eastAsia="Times New Roman" w:hAnsi="Segoe UI" w:cs="Segoe UI"/>
          <w:color w:val="212121"/>
          <w:sz w:val="24"/>
          <w:szCs w:val="24"/>
        </w:rPr>
        <w:t xml:space="preserve">Participants in the Mental and Substance Use Disorders Prevalence Study, a national household sample of nonelderly adults (N=4,764), were assessed by clinicians with the Structured Clinical Interview for DSM-5 (SCID-5) for SSDs (past year and lifetime), including schizophrenia, schizoaffective disorder, and schizophreniform disorder, and for psychotic symptoms. Weighted logistic regression models estimated </w:t>
      </w:r>
      <w:proofErr w:type="spellStart"/>
      <w:r w:rsidRPr="00DE7F19">
        <w:rPr>
          <w:rFonts w:ascii="Segoe UI" w:eastAsia="Times New Roman" w:hAnsi="Segoe UI" w:cs="Segoe UI"/>
          <w:color w:val="212121"/>
          <w:sz w:val="24"/>
          <w:szCs w:val="24"/>
        </w:rPr>
        <w:t>ethnoracial</w:t>
      </w:r>
      <w:proofErr w:type="spellEnd"/>
      <w:r w:rsidRPr="00DE7F19">
        <w:rPr>
          <w:rFonts w:ascii="Segoe UI" w:eastAsia="Times New Roman" w:hAnsi="Segoe UI" w:cs="Segoe UI"/>
          <w:color w:val="212121"/>
          <w:sz w:val="24"/>
          <w:szCs w:val="24"/>
        </w:rPr>
        <w:t xml:space="preserve"> differences in the prevalence of SSDs and psychotic symptoms in unadjusted models, age- and sex-adjusted models, and models further adjusted for a neighborhood Social Vulnerability Metric (SVM) score, a composite index of five social determinants of health domains.</w:t>
      </w:r>
    </w:p>
    <w:p w14:paraId="66AC4EA4" w14:textId="77777777" w:rsidR="00DE7F19" w:rsidRPr="00DE7F19" w:rsidRDefault="00DE7F19" w:rsidP="00DE7F19">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DE7F19">
        <w:rPr>
          <w:rFonts w:ascii="Segoe UI" w:eastAsia="Times New Roman" w:hAnsi="Segoe UI" w:cs="Segoe UI"/>
          <w:b/>
          <w:bCs/>
          <w:color w:val="212121"/>
          <w:sz w:val="24"/>
          <w:szCs w:val="24"/>
        </w:rPr>
        <w:t>Results: </w:t>
      </w:r>
      <w:r w:rsidRPr="00DE7F19">
        <w:rPr>
          <w:rFonts w:ascii="Segoe UI" w:eastAsia="Times New Roman" w:hAnsi="Segoe UI" w:cs="Segoe UI"/>
          <w:color w:val="212121"/>
          <w:sz w:val="24"/>
          <w:szCs w:val="24"/>
        </w:rPr>
        <w:t xml:space="preserve">Compared to non-Hispanic White individuals, non-Hispanic Black individuals had a significantly higher prevalence of SSDs (4.1% vs. 1.2%; adjusted odds ratio=3.49, </w:t>
      </w:r>
      <w:r w:rsidRPr="00DE7F19">
        <w:rPr>
          <w:rFonts w:ascii="Segoe UI" w:eastAsia="Times New Roman" w:hAnsi="Segoe UI" w:cs="Segoe UI"/>
          <w:color w:val="212121"/>
          <w:sz w:val="24"/>
          <w:szCs w:val="24"/>
        </w:rPr>
        <w:lastRenderedPageBreak/>
        <w:t>95% CI=1.37, 8.91) and psychotic symptoms (9.3% vs. 4.9%; adjusted odds ratio=2.04, 95% CI=1.15, 3.63), and non-Hispanic multiracial individuals had a significantly higher prevalence of SSDs (5.6%; adjusted odds ratio=4.59, 95% CI=1.53, 13.76). Further adjustment for SVM score lowered the Black-White group difference for SSDs (adjusted odds ratio=2.49, 95% CI=0.63, 9.90) and psychotic symptoms (adjusted odds ratio=1.69, 95% CI=0.83, 3.44), and the associations were no longer statistically significant. The difference in SSDs between the non-Hispanic multiracial and White groups was attenuated after SVM score adjustment (adjusted odds ratio=3.95, 95% CI=1.30, 12.00) but remained significant.</w:t>
      </w:r>
    </w:p>
    <w:p w14:paraId="7B51D027" w14:textId="77777777" w:rsidR="00DE7F19" w:rsidRPr="00DE7F19" w:rsidRDefault="00DE7F19" w:rsidP="00DE7F19">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DE7F19">
        <w:rPr>
          <w:rFonts w:ascii="Segoe UI" w:eastAsia="Times New Roman" w:hAnsi="Segoe UI" w:cs="Segoe UI"/>
          <w:b/>
          <w:bCs/>
          <w:color w:val="212121"/>
          <w:sz w:val="24"/>
          <w:szCs w:val="24"/>
        </w:rPr>
        <w:t>Conclusions: </w:t>
      </w:r>
      <w:r w:rsidRPr="00DE7F19">
        <w:rPr>
          <w:rFonts w:ascii="Segoe UI" w:eastAsia="Times New Roman" w:hAnsi="Segoe UI" w:cs="Segoe UI"/>
          <w:color w:val="212121"/>
          <w:sz w:val="24"/>
          <w:szCs w:val="24"/>
        </w:rPr>
        <w:t xml:space="preserve">This national U.S. household study found </w:t>
      </w:r>
      <w:proofErr w:type="spellStart"/>
      <w:r w:rsidRPr="00DE7F19">
        <w:rPr>
          <w:rFonts w:ascii="Segoe UI" w:eastAsia="Times New Roman" w:hAnsi="Segoe UI" w:cs="Segoe UI"/>
          <w:color w:val="212121"/>
          <w:sz w:val="24"/>
          <w:szCs w:val="24"/>
        </w:rPr>
        <w:t>ethnoracial</w:t>
      </w:r>
      <w:proofErr w:type="spellEnd"/>
      <w:r w:rsidRPr="00DE7F19">
        <w:rPr>
          <w:rFonts w:ascii="Segoe UI" w:eastAsia="Times New Roman" w:hAnsi="Segoe UI" w:cs="Segoe UI"/>
          <w:color w:val="212121"/>
          <w:sz w:val="24"/>
          <w:szCs w:val="24"/>
        </w:rPr>
        <w:t xml:space="preserve"> differences in the prevalence of clinician-assessed SCID-based schizophrenia spectrum disorders and positive psychotic symptoms. The higher prevalence among minoritized groups, particularly Black individuals, was connected to social inequities and community-level vulnerabilities embedded in neighborhoods and associated with structural racism.</w:t>
      </w:r>
    </w:p>
    <w:p w14:paraId="1DCF7CAF" w14:textId="77777777" w:rsidR="00DE7F19" w:rsidRDefault="00DE7F19" w:rsidP="00DE7F19">
      <w:pPr>
        <w:pStyle w:val="Heading1"/>
        <w:shd w:val="clear" w:color="auto" w:fill="FFFFFF"/>
        <w:rPr>
          <w:rFonts w:ascii="Merriweather" w:hAnsi="Merriweather"/>
          <w:color w:val="212121"/>
        </w:rPr>
      </w:pPr>
      <w:bookmarkStart w:id="6" w:name="_Toc211325131"/>
      <w:r>
        <w:rPr>
          <w:rFonts w:ascii="Merriweather" w:hAnsi="Merriweather"/>
          <w:color w:val="212121"/>
        </w:rPr>
        <w:t>Incidence and Nature of Antidepressant Discontinuation Symptoms: A Systematic Review and Meta-Analysis</w:t>
      </w:r>
      <w:bookmarkEnd w:id="6"/>
    </w:p>
    <w:p w14:paraId="7547941D" w14:textId="7126E664" w:rsidR="00DE7F19" w:rsidRDefault="00DE7F19" w:rsidP="00DE7F19">
      <w:pPr>
        <w:shd w:val="clear" w:color="auto" w:fill="FFFFFF"/>
        <w:spacing w:before="100" w:beforeAutospacing="1" w:after="100" w:afterAutospacing="1"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Kalfas M, </w:t>
      </w:r>
      <w:proofErr w:type="spellStart"/>
      <w:r>
        <w:rPr>
          <w:rFonts w:ascii="Segoe UI" w:hAnsi="Segoe UI" w:cs="Segoe UI"/>
          <w:color w:val="212121"/>
          <w:shd w:val="clear" w:color="auto" w:fill="FFFFFF"/>
        </w:rPr>
        <w:t>Tsapekos</w:t>
      </w:r>
      <w:proofErr w:type="spellEnd"/>
      <w:r>
        <w:rPr>
          <w:rFonts w:ascii="Segoe UI" w:hAnsi="Segoe UI" w:cs="Segoe UI"/>
          <w:color w:val="212121"/>
          <w:shd w:val="clear" w:color="auto" w:fill="FFFFFF"/>
        </w:rPr>
        <w:t xml:space="preserve"> D, Butler M, McCutcheon RA, Pillinger T, Strawbridge R, Bhat BB, Haddad PM, Cowen PJ, Howes OD, Joyce DW, Nutt DJ, Baldwin DS, </w:t>
      </w:r>
      <w:proofErr w:type="spellStart"/>
      <w:r>
        <w:rPr>
          <w:rFonts w:ascii="Segoe UI" w:hAnsi="Segoe UI" w:cs="Segoe UI"/>
          <w:color w:val="212121"/>
          <w:shd w:val="clear" w:color="auto" w:fill="FFFFFF"/>
        </w:rPr>
        <w:t>Pariante</w:t>
      </w:r>
      <w:proofErr w:type="spellEnd"/>
      <w:r>
        <w:rPr>
          <w:rFonts w:ascii="Segoe UI" w:hAnsi="Segoe UI" w:cs="Segoe UI"/>
          <w:color w:val="212121"/>
          <w:shd w:val="clear" w:color="auto" w:fill="FFFFFF"/>
        </w:rPr>
        <w:t xml:space="preserve"> CM, Lewis G, Young AH, Lewis G, Hayes JF, Jauhar S. Incidence and Nature of Antidepressant Discontinuation Symptoms: A Systematic Review and Meta-Analysis. JAMA Psychiatry. 2025 Sep 1;82(9):896-904.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10.1001/jamapsychiatry.2025.1362. Erratum in: JAMA Psychiatry. 2025 Jul 22.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10.1001/jamapsychiatry.2025.2398. </w:t>
      </w:r>
      <w:hyperlink r:id="rId14" w:history="1">
        <w:r w:rsidRPr="00DE7F19">
          <w:rPr>
            <w:rStyle w:val="Hyperlink"/>
            <w:rFonts w:ascii="Segoe UI" w:hAnsi="Segoe UI" w:cs="Segoe UI"/>
            <w:shd w:val="clear" w:color="auto" w:fill="FFFFFF"/>
          </w:rPr>
          <w:t>PMID: 40632531</w:t>
        </w:r>
      </w:hyperlink>
      <w:r>
        <w:rPr>
          <w:rFonts w:ascii="Segoe UI" w:hAnsi="Segoe UI" w:cs="Segoe UI"/>
          <w:color w:val="212121"/>
          <w:shd w:val="clear" w:color="auto" w:fill="FFFFFF"/>
        </w:rPr>
        <w:t>; PMCID: PMC12242823.</w:t>
      </w:r>
    </w:p>
    <w:p w14:paraId="74C7B151"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The incidence and nature of discontinuation symptoms following antidepressant cessation remain unclear.</w:t>
      </w:r>
    </w:p>
    <w:p w14:paraId="2BEA54E8"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examine the presence of discontinuation symptoms using standardized scales (</w:t>
      </w:r>
      <w:proofErr w:type="spellStart"/>
      <w:r>
        <w:rPr>
          <w:rFonts w:ascii="Segoe UI" w:hAnsi="Segoe UI" w:cs="Segoe UI"/>
          <w:color w:val="212121"/>
        </w:rPr>
        <w:t>eg</w:t>
      </w:r>
      <w:proofErr w:type="spellEnd"/>
      <w:r>
        <w:rPr>
          <w:rFonts w:ascii="Segoe UI" w:hAnsi="Segoe UI" w:cs="Segoe UI"/>
          <w:color w:val="212121"/>
        </w:rPr>
        <w:t>, Discontinuation-Emergent Signs and Symptoms [DESS]) and the incidence of individual discontinuation symptoms in individuals who stop taking antidepressants.</w:t>
      </w:r>
    </w:p>
    <w:p w14:paraId="57C81216"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Data sources: </w:t>
      </w:r>
      <w:r>
        <w:rPr>
          <w:rFonts w:ascii="Segoe UI" w:hAnsi="Segoe UI" w:cs="Segoe UI"/>
          <w:color w:val="212121"/>
        </w:rPr>
        <w:t>The databases Embase, PsycINFO, Ovid MEDLINE, and Cochrane Library were systematically searched from inception until November 7, 2023.</w:t>
      </w:r>
    </w:p>
    <w:p w14:paraId="316AAC9C"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Study selection: </w:t>
      </w:r>
      <w:r>
        <w:rPr>
          <w:rFonts w:ascii="Segoe UI" w:hAnsi="Segoe UI" w:cs="Segoe UI"/>
          <w:color w:val="212121"/>
        </w:rPr>
        <w:t>Randomized clinical trials (RCTs) reporting discontinuation symptoms using a standardized scale or individual symptoms (</w:t>
      </w:r>
      <w:proofErr w:type="spellStart"/>
      <w:r>
        <w:rPr>
          <w:rFonts w:ascii="Segoe UI" w:hAnsi="Segoe UI" w:cs="Segoe UI"/>
          <w:color w:val="212121"/>
        </w:rPr>
        <w:t>eg</w:t>
      </w:r>
      <w:proofErr w:type="spellEnd"/>
      <w:r>
        <w:rPr>
          <w:rFonts w:ascii="Segoe UI" w:hAnsi="Segoe UI" w:cs="Segoe UI"/>
          <w:color w:val="212121"/>
        </w:rPr>
        <w:t>, adverse events) following antidepressant cessation were included.</w:t>
      </w:r>
    </w:p>
    <w:p w14:paraId="646CB59C"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lastRenderedPageBreak/>
        <w:t>Data extraction and synthesis: </w:t>
      </w:r>
      <w:r>
        <w:rPr>
          <w:rFonts w:ascii="Segoe UI" w:hAnsi="Segoe UI" w:cs="Segoe UI"/>
          <w:color w:val="212121"/>
        </w:rPr>
        <w:t>Data extracted were cross-checked by 2 reviewers. Additional unpublished data from 11 RCTs were included. A random-effects meta-analysis was conducted to calculate standardized mean difference between individuals who discontinued an antidepressant vs those who continued an antidepressant or discontinued placebo. A proportion and odds ratio (OR) meta-analysis was performed to assess incidence of individual discontinuation symptoms compared to placebo. Subgroup analyses were conducted to compare different antidepressants. Data analysis was conducted between September 2024 and December 2024.</w:t>
      </w:r>
    </w:p>
    <w:p w14:paraId="398012D0"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The primary outcomes were incidence and nature of antidepressant discontinuation symptoms measured using standardized or unstandardized scales.</w:t>
      </w:r>
    </w:p>
    <w:p w14:paraId="015E9A0C" w14:textId="77777777" w:rsid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A total of 50 studies were included, 49 of which were included in meta-analyses. The 50 studies included 17 828 participants in total, with 66.9% female participants and mean participant age of 44 years. Follow-up was between 1 day and 52 weeks. The DESS meta-analysis indicated increased discontinuation symptoms at 1 week in participants stopping antidepressants (standardized mean difference, 0.31; 95% CI, 0.23-0.39; number of studies [k] = 11; n = 3915 participants) compared to those taking placebo or continuing antidepressants. The effect size was equivalent to 1 more symptom on the DESS. Discontinuation of antidepressants was associated with increased odds of dizziness (OR, 5.52; 95% CI, 3.81-8.01), nausea (OR, 3.16; 95% CI, 2.01-4.96), vertigo (OR, 6.40; 95% CI, 1.20-34.19), and nervousness (OR, 3.15; 95% CI, 1.29-7.64) compared to placebo discontinuation. Dizziness was the most prevalent discontinuation symptom (risk difference, 6.24%). Discontinuation was not associated with depression symptoms, despite being measured in people with major depressive disorder (k = 5).</w:t>
      </w:r>
    </w:p>
    <w:p w14:paraId="41C4FAEB" w14:textId="34EE7663" w:rsidR="00DE7F19" w:rsidRPr="00DE7F19" w:rsidRDefault="00DE7F19" w:rsidP="00DE7F19">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This systematic review and meta-analysis indicated that the mean number of discontinuation symptoms at week 1 after stopping antidepressants was below the threshold for clinically significant discontinuation syndrome. Mood worsening was not associated with discontinuation; therefore, later presentation of depression after discontinuation is indicative of depression relapse.</w:t>
      </w:r>
    </w:p>
    <w:p w14:paraId="0D01901D" w14:textId="77777777" w:rsidR="00AA160A" w:rsidRDefault="00AA160A" w:rsidP="00B35071">
      <w:pPr>
        <w:spacing w:after="0" w:line="240" w:lineRule="auto"/>
        <w:textAlignment w:val="baseline"/>
        <w:rPr>
          <w:rFonts w:ascii="Segoe UI" w:hAnsi="Segoe UI" w:cs="Segoe UI"/>
          <w:color w:val="212121"/>
          <w:shd w:val="clear" w:color="auto" w:fill="FFFFFF"/>
        </w:rPr>
      </w:pPr>
    </w:p>
    <w:p w14:paraId="1AFAC445" w14:textId="77777777" w:rsidR="00AA160A" w:rsidRDefault="00AA160A" w:rsidP="00AA160A">
      <w:pPr>
        <w:pStyle w:val="Heading1"/>
        <w:shd w:val="clear" w:color="auto" w:fill="FFFFFF"/>
        <w:rPr>
          <w:rFonts w:ascii="Merriweather" w:hAnsi="Merriweather"/>
          <w:color w:val="212121"/>
        </w:rPr>
      </w:pPr>
      <w:bookmarkStart w:id="7" w:name="_Toc211325132"/>
      <w:r>
        <w:rPr>
          <w:rFonts w:ascii="Merriweather" w:hAnsi="Merriweather"/>
          <w:color w:val="212121"/>
        </w:rPr>
        <w:t>Inflammatory Exposure and Depression in Older Adults With Insomnia: A Randomized Clinical Trial</w:t>
      </w:r>
      <w:bookmarkEnd w:id="7"/>
    </w:p>
    <w:p w14:paraId="48E66A5A" w14:textId="77777777" w:rsidR="00AA160A" w:rsidRDefault="00AA160A" w:rsidP="00B35071">
      <w:pPr>
        <w:spacing w:after="0" w:line="240" w:lineRule="auto"/>
        <w:textAlignment w:val="baseline"/>
        <w:rPr>
          <w:rFonts w:ascii="Segoe UI" w:hAnsi="Segoe UI" w:cs="Segoe UI"/>
          <w:color w:val="212121"/>
          <w:shd w:val="clear" w:color="auto" w:fill="FFFFFF"/>
        </w:rPr>
      </w:pPr>
    </w:p>
    <w:p w14:paraId="3734F1AC" w14:textId="67D8C7C1" w:rsidR="00AA160A" w:rsidRDefault="00AA160A"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Irwin MR, Boyle CC, Cho JH, </w:t>
      </w:r>
      <w:proofErr w:type="spellStart"/>
      <w:r>
        <w:rPr>
          <w:rFonts w:ascii="Segoe UI" w:hAnsi="Segoe UI" w:cs="Segoe UI"/>
          <w:color w:val="212121"/>
          <w:shd w:val="clear" w:color="auto" w:fill="FFFFFF"/>
        </w:rPr>
        <w:t>Piber</w:t>
      </w:r>
      <w:proofErr w:type="spellEnd"/>
      <w:r>
        <w:rPr>
          <w:rFonts w:ascii="Segoe UI" w:hAnsi="Segoe UI" w:cs="Segoe UI"/>
          <w:color w:val="212121"/>
          <w:shd w:val="clear" w:color="auto" w:fill="FFFFFF"/>
        </w:rPr>
        <w:t xml:space="preserve"> D, Sadeghi N, Castillo D, Smith MT, Eisenberger NI, Olmstead R. Inflammatory Exposure and Depression in Older Adults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Insomnia: A Randomized Clinical </w:t>
      </w:r>
      <w:r>
        <w:rPr>
          <w:rFonts w:ascii="Segoe UI" w:hAnsi="Segoe UI" w:cs="Segoe UI"/>
          <w:color w:val="212121"/>
          <w:shd w:val="clear" w:color="auto" w:fill="FFFFFF"/>
        </w:rPr>
        <w:lastRenderedPageBreak/>
        <w:t xml:space="preserve">Trial. JAMA Psychiatry. 2025 Sep 1;82(9):859-867.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10.1001/jamapsychiatry.2025.1327. </w:t>
      </w:r>
      <w:hyperlink r:id="rId15" w:history="1">
        <w:r w:rsidRPr="00AA160A">
          <w:rPr>
            <w:rStyle w:val="Hyperlink"/>
            <w:rFonts w:ascii="Segoe UI" w:hAnsi="Segoe UI" w:cs="Segoe UI"/>
            <w:shd w:val="clear" w:color="auto" w:fill="FFFFFF"/>
          </w:rPr>
          <w:t>PMID: 40668551</w:t>
        </w:r>
      </w:hyperlink>
      <w:r>
        <w:rPr>
          <w:rFonts w:ascii="Segoe UI" w:hAnsi="Segoe UI" w:cs="Segoe UI"/>
          <w:color w:val="212121"/>
          <w:shd w:val="clear" w:color="auto" w:fill="FFFFFF"/>
        </w:rPr>
        <w:t>; PMCID: PMC12268530.</w:t>
      </w:r>
    </w:p>
    <w:p w14:paraId="544C9CFE"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Insomnia and inflammation are prevalent in older adults, and both are risk factors for late-life depression. Older adults with insomnia who are exposed to inflammatory challenge may be more vulnerable to depression.</w:t>
      </w:r>
    </w:p>
    <w:p w14:paraId="1A2F973D"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determine whether inflammatory exposure induces greater increases in depressive mood and symptoms in older adults with insomnia disorder compared to those without insomnia.</w:t>
      </w:r>
    </w:p>
    <w:p w14:paraId="2EC9C645"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This assessor-blinded, parallel-condition randomized clinical trial was conducted from August 2017 to November 2022 at a single site in Los Angeles, California, among a community-based sample of 160 nondepressed adults aged 60 years or older (53 with insomnia disorder and 107 without insomnia, or control). Data analysis occurred from July 2023 to August 2024.</w:t>
      </w:r>
    </w:p>
    <w:p w14:paraId="0DC80702"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Interventions: </w:t>
      </w:r>
      <w:r>
        <w:rPr>
          <w:rFonts w:ascii="Segoe UI" w:hAnsi="Segoe UI" w:cs="Segoe UI"/>
          <w:color w:val="212121"/>
        </w:rPr>
        <w:t>Participant groups stratified by insomnia status were randomized to 2 conditions: endotoxin or placebo.</w:t>
      </w:r>
    </w:p>
    <w:p w14:paraId="4DC18535"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The primary outcome was depressed mood, assessed by the Profiles of Mood States depression subscale (POMS-D). Secondary outcomes were depressive symptom severity and inflammatory cytokines.</w:t>
      </w:r>
    </w:p>
    <w:p w14:paraId="142025E9"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Among 160 randomized participants eligible for the study (mean [SD] age, 65.9 [4.6] years; 84 female participants [52.5%]), 79 participants (26 with insomnia, 53 control participants) were randomized to endotoxin and 81 (27 with insomnia, 54 control participants) to placebo. All randomized participants completed the protocol. Compared to placebo, endotoxin induced increases in POMS-D to a significantly greater extent in those with insomnia than controls (condition × group interaction, F10,1478 = 4.7; P &lt; .001), with a similar effect for observer-rated POMS-D mood (condition × group interaction, F3,450 = 5.5; P = .001), as well as clinically meaningful increases in observer-rated measures of depressive symptoms. Endotoxin induced similar increases in inflammatory cytokines in both groups. Moderation analyses found that the inflammatory response was associated with increases in POMS-D in the insomnia group (β = 0.33; 95% CI, 0.26-0.41; P &lt; .001) but not in control participants.</w:t>
      </w:r>
    </w:p>
    <w:p w14:paraId="305B2573"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 xml:space="preserve">In this randomized clinical trial, older adults with insomnia showed an exaggerated vulnerability to depressive mood and symptoms in response to inflammatory challenge. Older adults with insomnia should undergo vigilant depression </w:t>
      </w:r>
      <w:r>
        <w:rPr>
          <w:rFonts w:ascii="Segoe UI" w:hAnsi="Segoe UI" w:cs="Segoe UI"/>
          <w:color w:val="212121"/>
        </w:rPr>
        <w:lastRenderedPageBreak/>
        <w:t>monitoring during periods of inflammatory exposure; selective depression prevention strategies that target both insomnia and inflammatory phenotypes are needed.</w:t>
      </w:r>
    </w:p>
    <w:p w14:paraId="0835810F" w14:textId="77777777" w:rsidR="00AA160A" w:rsidRDefault="00AA160A" w:rsidP="00AA160A">
      <w:pPr>
        <w:pStyle w:val="Heading1"/>
        <w:shd w:val="clear" w:color="auto" w:fill="FFFFFF"/>
        <w:rPr>
          <w:rFonts w:ascii="Merriweather" w:hAnsi="Merriweather"/>
          <w:color w:val="212121"/>
        </w:rPr>
      </w:pPr>
      <w:bookmarkStart w:id="8" w:name="_Toc211325133"/>
      <w:r>
        <w:rPr>
          <w:rFonts w:ascii="Merriweather" w:hAnsi="Merriweather"/>
          <w:color w:val="212121"/>
        </w:rPr>
        <w:t>Esketamine Monotherapy in Adults With Treatment-Resistant Depression: A Randomized Clinical Trial</w:t>
      </w:r>
      <w:bookmarkEnd w:id="8"/>
    </w:p>
    <w:p w14:paraId="3CF42D32" w14:textId="77777777" w:rsidR="00AA160A" w:rsidRDefault="00AA160A" w:rsidP="00B35071">
      <w:pPr>
        <w:spacing w:after="0" w:line="240" w:lineRule="auto"/>
        <w:textAlignment w:val="baseline"/>
        <w:rPr>
          <w:rFonts w:ascii="Calibri" w:eastAsia="Times New Roman" w:hAnsi="Calibri" w:cs="Calibri"/>
          <w:color w:val="000000"/>
        </w:rPr>
      </w:pPr>
    </w:p>
    <w:p w14:paraId="019FBF98" w14:textId="486E7434" w:rsidR="00AA160A" w:rsidRDefault="00AA160A"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Janik A, Qiu X, Lane R, Popova V, </w:t>
      </w:r>
      <w:proofErr w:type="spellStart"/>
      <w:r>
        <w:rPr>
          <w:rFonts w:ascii="Segoe UI" w:hAnsi="Segoe UI" w:cs="Segoe UI"/>
          <w:color w:val="212121"/>
          <w:shd w:val="clear" w:color="auto" w:fill="FFFFFF"/>
        </w:rPr>
        <w:t>Drevets</w:t>
      </w:r>
      <w:proofErr w:type="spellEnd"/>
      <w:r>
        <w:rPr>
          <w:rFonts w:ascii="Segoe UI" w:hAnsi="Segoe UI" w:cs="Segoe UI"/>
          <w:color w:val="212121"/>
          <w:shd w:val="clear" w:color="auto" w:fill="FFFFFF"/>
        </w:rPr>
        <w:t xml:space="preserve"> WC, Canuso CM, Macaluso M, Mattingly GW, Shelton RC, </w:t>
      </w:r>
      <w:proofErr w:type="spellStart"/>
      <w:r>
        <w:rPr>
          <w:rFonts w:ascii="Segoe UI" w:hAnsi="Segoe UI" w:cs="Segoe UI"/>
          <w:color w:val="212121"/>
          <w:shd w:val="clear" w:color="auto" w:fill="FFFFFF"/>
        </w:rPr>
        <w:t>Zajecka</w:t>
      </w:r>
      <w:proofErr w:type="spellEnd"/>
      <w:r>
        <w:rPr>
          <w:rFonts w:ascii="Segoe UI" w:hAnsi="Segoe UI" w:cs="Segoe UI"/>
          <w:color w:val="212121"/>
          <w:shd w:val="clear" w:color="auto" w:fill="FFFFFF"/>
        </w:rPr>
        <w:t xml:space="preserve"> JM, Fu DJ. </w:t>
      </w:r>
      <w:proofErr w:type="spellStart"/>
      <w:r>
        <w:rPr>
          <w:rFonts w:ascii="Segoe UI" w:hAnsi="Segoe UI" w:cs="Segoe UI"/>
          <w:color w:val="212121"/>
          <w:shd w:val="clear" w:color="auto" w:fill="FFFFFF"/>
        </w:rPr>
        <w:t>Esketamine</w:t>
      </w:r>
      <w:proofErr w:type="spellEnd"/>
      <w:r>
        <w:rPr>
          <w:rFonts w:ascii="Segoe UI" w:hAnsi="Segoe UI" w:cs="Segoe UI"/>
          <w:color w:val="212121"/>
          <w:shd w:val="clear" w:color="auto" w:fill="FFFFFF"/>
        </w:rPr>
        <w:t xml:space="preserve"> Monotherapy in Adults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Treatment-Resistant Depression: A Randomized Clinical Trial. JAMA Psychiatry. 2025 Sep 1;82(9):877-887.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10.1001/jamapsychiatry.2025.1317. </w:t>
      </w:r>
      <w:hyperlink r:id="rId16" w:history="1">
        <w:r w:rsidRPr="00AA160A">
          <w:rPr>
            <w:rStyle w:val="Hyperlink"/>
            <w:rFonts w:ascii="Segoe UI" w:hAnsi="Segoe UI" w:cs="Segoe UI"/>
            <w:shd w:val="clear" w:color="auto" w:fill="FFFFFF"/>
          </w:rPr>
          <w:t>PMID: 40601310</w:t>
        </w:r>
      </w:hyperlink>
      <w:r>
        <w:rPr>
          <w:rFonts w:ascii="Segoe UI" w:hAnsi="Segoe UI" w:cs="Segoe UI"/>
          <w:color w:val="212121"/>
          <w:shd w:val="clear" w:color="auto" w:fill="FFFFFF"/>
        </w:rPr>
        <w:t>; PMCID: PMC12224050.</w:t>
      </w:r>
    </w:p>
    <w:p w14:paraId="21BEF0BF"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Importance: </w:t>
      </w:r>
      <w:proofErr w:type="spellStart"/>
      <w:r>
        <w:rPr>
          <w:rFonts w:ascii="Segoe UI" w:hAnsi="Segoe UI" w:cs="Segoe UI"/>
          <w:color w:val="212121"/>
        </w:rPr>
        <w:t>Esketamine</w:t>
      </w:r>
      <w:proofErr w:type="spellEnd"/>
      <w:r>
        <w:rPr>
          <w:rFonts w:ascii="Segoe UI" w:hAnsi="Segoe UI" w:cs="Segoe UI"/>
          <w:color w:val="212121"/>
        </w:rPr>
        <w:t xml:space="preserve"> nasal spray, administered in conjunction with an oral antidepressant, is approved for treatment-resistant depression (TRD). However, the efficacy of </w:t>
      </w:r>
      <w:proofErr w:type="spellStart"/>
      <w:r>
        <w:rPr>
          <w:rFonts w:ascii="Segoe UI" w:hAnsi="Segoe UI" w:cs="Segoe UI"/>
          <w:color w:val="212121"/>
        </w:rPr>
        <w:t>esketamine</w:t>
      </w:r>
      <w:proofErr w:type="spellEnd"/>
      <w:r>
        <w:rPr>
          <w:rFonts w:ascii="Segoe UI" w:hAnsi="Segoe UI" w:cs="Segoe UI"/>
          <w:color w:val="212121"/>
        </w:rPr>
        <w:t xml:space="preserve"> nasal spray administered as monotherapy for patients with TRD has not yet been evaluated.</w:t>
      </w:r>
    </w:p>
    <w:p w14:paraId="3526967F"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 xml:space="preserve">To assess the efficacy and safety of </w:t>
      </w:r>
      <w:proofErr w:type="spellStart"/>
      <w:r>
        <w:rPr>
          <w:rFonts w:ascii="Segoe UI" w:hAnsi="Segoe UI" w:cs="Segoe UI"/>
          <w:color w:val="212121"/>
        </w:rPr>
        <w:t>esketamine</w:t>
      </w:r>
      <w:proofErr w:type="spellEnd"/>
      <w:r>
        <w:rPr>
          <w:rFonts w:ascii="Segoe UI" w:hAnsi="Segoe UI" w:cs="Segoe UI"/>
          <w:color w:val="212121"/>
        </w:rPr>
        <w:t xml:space="preserve"> monotherapy compared to placebo in reducing depressive symptoms in patients with TRD.</w:t>
      </w:r>
    </w:p>
    <w:p w14:paraId="24684813"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This phase 4, double-blind, placebo-controlled randomized clinical trial was conducted from November 2020 to January 2024 at 51 outpatient centers in the US. Adults with major depressive disorder (DSM-5 criteria) without psychotic features who experienced inadequate response (≤25% improvement) to 2 or more oral antidepressants during the current depressive episode were eligible for inclusion. Data analyses were conducted from March 1, 2024, to July 8, 2024.</w:t>
      </w:r>
    </w:p>
    <w:p w14:paraId="4FA1D4BF"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Interventions: </w:t>
      </w:r>
      <w:r>
        <w:rPr>
          <w:rFonts w:ascii="Segoe UI" w:hAnsi="Segoe UI" w:cs="Segoe UI"/>
          <w:color w:val="212121"/>
        </w:rPr>
        <w:t xml:space="preserve">After a 2-week or longer antidepressant-free period, participants were randomized at a 1:1:2 ratio to fixed-dose intranasal </w:t>
      </w:r>
      <w:proofErr w:type="spellStart"/>
      <w:r>
        <w:rPr>
          <w:rFonts w:ascii="Segoe UI" w:hAnsi="Segoe UI" w:cs="Segoe UI"/>
          <w:color w:val="212121"/>
        </w:rPr>
        <w:t>esketamine</w:t>
      </w:r>
      <w:proofErr w:type="spellEnd"/>
      <w:r>
        <w:rPr>
          <w:rFonts w:ascii="Segoe UI" w:hAnsi="Segoe UI" w:cs="Segoe UI"/>
          <w:color w:val="212121"/>
        </w:rPr>
        <w:t xml:space="preserve"> (56 mg or 84 mg) or matching intranasal placebo, administered twice weekly for 4 weeks.</w:t>
      </w:r>
    </w:p>
    <w:p w14:paraId="0E6B870B"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Change in Montgomery-</w:t>
      </w:r>
      <w:proofErr w:type="spellStart"/>
      <w:r>
        <w:rPr>
          <w:rFonts w:ascii="Segoe UI" w:hAnsi="Segoe UI" w:cs="Segoe UI"/>
          <w:color w:val="212121"/>
        </w:rPr>
        <w:t>Åsberg</w:t>
      </w:r>
      <w:proofErr w:type="spellEnd"/>
      <w:r>
        <w:rPr>
          <w:rFonts w:ascii="Segoe UI" w:hAnsi="Segoe UI" w:cs="Segoe UI"/>
          <w:color w:val="212121"/>
        </w:rPr>
        <w:t xml:space="preserve"> Depression Rating Scale (MADRS) score from baseline to day 28 (primary efficacy end point) and to 24 hours post-first dose (day 2; key secondary efficacy end point) were analyzed by a mixed-effects model using repeated measures.</w:t>
      </w:r>
    </w:p>
    <w:p w14:paraId="4E287ACD"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In this multicenter randomized clinical trial, 378 participants who met </w:t>
      </w:r>
      <w:proofErr w:type="spellStart"/>
      <w:r>
        <w:rPr>
          <w:rFonts w:ascii="Segoe UI" w:hAnsi="Segoe UI" w:cs="Segoe UI"/>
          <w:color w:val="212121"/>
        </w:rPr>
        <w:t>prerandomization</w:t>
      </w:r>
      <w:proofErr w:type="spellEnd"/>
      <w:r>
        <w:rPr>
          <w:rFonts w:ascii="Segoe UI" w:hAnsi="Segoe UI" w:cs="Segoe UI"/>
          <w:color w:val="212121"/>
        </w:rPr>
        <w:t xml:space="preserve"> MADRS severity criteria received 1 or more study drug doses (</w:t>
      </w:r>
      <w:proofErr w:type="spellStart"/>
      <w:r>
        <w:rPr>
          <w:rFonts w:ascii="Segoe UI" w:hAnsi="Segoe UI" w:cs="Segoe UI"/>
          <w:color w:val="212121"/>
        </w:rPr>
        <w:t>esketamine</w:t>
      </w:r>
      <w:proofErr w:type="spellEnd"/>
      <w:r>
        <w:rPr>
          <w:rFonts w:ascii="Segoe UI" w:hAnsi="Segoe UI" w:cs="Segoe UI"/>
          <w:color w:val="212121"/>
        </w:rPr>
        <w:t xml:space="preserve">, 56 mg [n = 86]; </w:t>
      </w:r>
      <w:proofErr w:type="spellStart"/>
      <w:r>
        <w:rPr>
          <w:rFonts w:ascii="Segoe UI" w:hAnsi="Segoe UI" w:cs="Segoe UI"/>
          <w:color w:val="212121"/>
        </w:rPr>
        <w:t>esketamine</w:t>
      </w:r>
      <w:proofErr w:type="spellEnd"/>
      <w:r>
        <w:rPr>
          <w:rFonts w:ascii="Segoe UI" w:hAnsi="Segoe UI" w:cs="Segoe UI"/>
          <w:color w:val="212121"/>
        </w:rPr>
        <w:t xml:space="preserve">, 84 mg [n = 95]; or placebo [n = 197]). Mean (SD) participant age was 45.4 (14.1) years, 231 participants (61.1%) were female, and baseline mean (range) MADRS total score was 37.3 (28-50). At day 28, the least-square (LS) mean difference (SE) between </w:t>
      </w:r>
      <w:proofErr w:type="spellStart"/>
      <w:r>
        <w:rPr>
          <w:rFonts w:ascii="Segoe UI" w:hAnsi="Segoe UI" w:cs="Segoe UI"/>
          <w:color w:val="212121"/>
        </w:rPr>
        <w:t>esketamine</w:t>
      </w:r>
      <w:proofErr w:type="spellEnd"/>
      <w:r>
        <w:rPr>
          <w:rFonts w:ascii="Segoe UI" w:hAnsi="Segoe UI" w:cs="Segoe UI"/>
          <w:color w:val="212121"/>
        </w:rPr>
        <w:t xml:space="preserve"> and placebo was -5.1 (1.42) (95% CI, -7.91 </w:t>
      </w:r>
      <w:r>
        <w:rPr>
          <w:rFonts w:ascii="Segoe UI" w:hAnsi="Segoe UI" w:cs="Segoe UI"/>
          <w:color w:val="212121"/>
        </w:rPr>
        <w:lastRenderedPageBreak/>
        <w:t xml:space="preserve">to -2.33) for the 56-mg dose and -6.8 (1.38) (95% CI, -9.48 to -4.07) for the 84-mg dose (for each, 2-sided P &lt; .001). Observed effect sizes were 0.48 and 0.63 for the 56-mg and 84-mg dose groups, respectively. At day 2 (approximately 24 hours post-first dose), the between-group difference was significant for both </w:t>
      </w:r>
      <w:proofErr w:type="spellStart"/>
      <w:r>
        <w:rPr>
          <w:rFonts w:ascii="Segoe UI" w:hAnsi="Segoe UI" w:cs="Segoe UI"/>
          <w:color w:val="212121"/>
        </w:rPr>
        <w:t>esketamine</w:t>
      </w:r>
      <w:proofErr w:type="spellEnd"/>
      <w:r>
        <w:rPr>
          <w:rFonts w:ascii="Segoe UI" w:hAnsi="Segoe UI" w:cs="Segoe UI"/>
          <w:color w:val="212121"/>
        </w:rPr>
        <w:t xml:space="preserve"> doses: -3.8 (1.29) (95% CI, -6.29 to -1.22; 2-sided P = .004) for 56 mg and -3.4 (1.24) (95% CI, -5.89 to -1.00; 2-sided P = .006) for 84 mg. The most common treatment-emergent adverse events reported for </w:t>
      </w:r>
      <w:proofErr w:type="spellStart"/>
      <w:r>
        <w:rPr>
          <w:rFonts w:ascii="Segoe UI" w:hAnsi="Segoe UI" w:cs="Segoe UI"/>
          <w:color w:val="212121"/>
        </w:rPr>
        <w:t>esketamine</w:t>
      </w:r>
      <w:proofErr w:type="spellEnd"/>
      <w:r>
        <w:rPr>
          <w:rFonts w:ascii="Segoe UI" w:hAnsi="Segoe UI" w:cs="Segoe UI"/>
          <w:color w:val="212121"/>
        </w:rPr>
        <w:t xml:space="preserve"> (combined doses) were nausea (56 participants [24.8%]), dissociation (55 [24.3%]), dizziness (49 [21.7%]), and headache (43 [19.0%]).</w:t>
      </w:r>
    </w:p>
    <w:p w14:paraId="01FBE118" w14:textId="77777777" w:rsidR="00AA160A" w:rsidRDefault="00AA160A" w:rsidP="00AA160A">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 xml:space="preserve">According to results of this multicenter, double-blind randomized clinical trial, </w:t>
      </w:r>
      <w:proofErr w:type="spellStart"/>
      <w:r>
        <w:rPr>
          <w:rFonts w:ascii="Segoe UI" w:hAnsi="Segoe UI" w:cs="Segoe UI"/>
          <w:color w:val="212121"/>
        </w:rPr>
        <w:t>esketamine</w:t>
      </w:r>
      <w:proofErr w:type="spellEnd"/>
      <w:r>
        <w:rPr>
          <w:rFonts w:ascii="Segoe UI" w:hAnsi="Segoe UI" w:cs="Segoe UI"/>
          <w:color w:val="212121"/>
        </w:rPr>
        <w:t xml:space="preserve"> monotherapy may expand treatment options for adult patients with TRD by addressing an unmet need of patients experiencing treatment-limiting tolerability concerns and nonresponse with oral antidepressants.</w:t>
      </w:r>
    </w:p>
    <w:p w14:paraId="4DF0200B" w14:textId="77777777" w:rsidR="00CB648C" w:rsidRDefault="00CB648C" w:rsidP="00CB648C">
      <w:pPr>
        <w:pStyle w:val="Heading1"/>
        <w:shd w:val="clear" w:color="auto" w:fill="FFFFFF"/>
        <w:rPr>
          <w:rFonts w:ascii="Merriweather" w:hAnsi="Merriweather"/>
          <w:color w:val="212121"/>
        </w:rPr>
      </w:pPr>
      <w:bookmarkStart w:id="9" w:name="_Toc211325134"/>
      <w:r>
        <w:rPr>
          <w:rFonts w:ascii="Merriweather" w:hAnsi="Merriweather"/>
          <w:color w:val="212121"/>
        </w:rPr>
        <w:t>Suicide and Self-Harm Events With GLP-1 Receptor Agonists in Adults With Diabetes or Obesity: A Systematic Review and Meta-Analysis</w:t>
      </w:r>
      <w:bookmarkEnd w:id="9"/>
    </w:p>
    <w:p w14:paraId="2968BF83" w14:textId="77777777" w:rsidR="00AA160A" w:rsidRDefault="00AA160A" w:rsidP="00B35071">
      <w:pPr>
        <w:spacing w:after="0" w:line="240" w:lineRule="auto"/>
        <w:textAlignment w:val="baseline"/>
        <w:rPr>
          <w:rFonts w:ascii="Calibri" w:eastAsia="Times New Roman" w:hAnsi="Calibri" w:cs="Calibri"/>
          <w:color w:val="000000"/>
        </w:rPr>
      </w:pPr>
    </w:p>
    <w:p w14:paraId="47D07B97" w14:textId="5B080A53" w:rsidR="00CB648C" w:rsidRDefault="00CB648C"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Ebrahimi P, Batlle JC, Ayati A, Maqsood MH, Long C, </w:t>
      </w:r>
      <w:proofErr w:type="spellStart"/>
      <w:r>
        <w:rPr>
          <w:rFonts w:ascii="Segoe UI" w:hAnsi="Segoe UI" w:cs="Segoe UI"/>
          <w:color w:val="212121"/>
          <w:shd w:val="clear" w:color="auto" w:fill="FFFFFF"/>
        </w:rPr>
        <w:t>Tarabanis</w:t>
      </w:r>
      <w:proofErr w:type="spellEnd"/>
      <w:r>
        <w:rPr>
          <w:rFonts w:ascii="Segoe UI" w:hAnsi="Segoe UI" w:cs="Segoe UI"/>
          <w:color w:val="212121"/>
          <w:shd w:val="clear" w:color="auto" w:fill="FFFFFF"/>
        </w:rPr>
        <w:t xml:space="preserve"> C, McGowan N, Liebers DT, </w:t>
      </w:r>
      <w:proofErr w:type="spellStart"/>
      <w:r>
        <w:rPr>
          <w:rFonts w:ascii="Segoe UI" w:hAnsi="Segoe UI" w:cs="Segoe UI"/>
          <w:color w:val="212121"/>
          <w:shd w:val="clear" w:color="auto" w:fill="FFFFFF"/>
        </w:rPr>
        <w:t>Laynor</w:t>
      </w:r>
      <w:proofErr w:type="spellEnd"/>
      <w:r>
        <w:rPr>
          <w:rFonts w:ascii="Segoe UI" w:hAnsi="Segoe UI" w:cs="Segoe UI"/>
          <w:color w:val="212121"/>
          <w:shd w:val="clear" w:color="auto" w:fill="FFFFFF"/>
        </w:rPr>
        <w:t xml:space="preserve"> G, Hosseini K, Heffron SP. Suicide and Self-Harm Events With GLP-1 Receptor Agonists in Adults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Diabetes or Obesity: A Systematic Review and Meta-Analysis. JAMA Psychiatry. 2025 Sep 1;82(9):888-895.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10.1001/jamapsychiatry.2025.0091. Erratum in: JAMA Psychiatry. 2025 Sep 1;82(9):947.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10.1001/jamapsychiatry.2025.1716. </w:t>
      </w:r>
      <w:hyperlink r:id="rId17" w:history="1">
        <w:r w:rsidRPr="00CB648C">
          <w:rPr>
            <w:rStyle w:val="Hyperlink"/>
            <w:rFonts w:ascii="Segoe UI" w:hAnsi="Segoe UI" w:cs="Segoe UI"/>
            <w:shd w:val="clear" w:color="auto" w:fill="FFFFFF"/>
          </w:rPr>
          <w:t>PMID: 40105856</w:t>
        </w:r>
      </w:hyperlink>
      <w:r>
        <w:rPr>
          <w:rFonts w:ascii="Segoe UI" w:hAnsi="Segoe UI" w:cs="Segoe UI"/>
          <w:color w:val="212121"/>
          <w:shd w:val="clear" w:color="auto" w:fill="FFFFFF"/>
        </w:rPr>
        <w:t>; PMCID: PMC11923776.</w:t>
      </w:r>
    </w:p>
    <w:p w14:paraId="154E8567" w14:textId="77777777" w:rsidR="00CB648C" w:rsidRDefault="00CB648C" w:rsidP="00B35071">
      <w:pPr>
        <w:spacing w:after="0" w:line="240" w:lineRule="auto"/>
        <w:textAlignment w:val="baseline"/>
        <w:rPr>
          <w:rFonts w:ascii="Segoe UI" w:hAnsi="Segoe UI" w:cs="Segoe UI"/>
          <w:color w:val="212121"/>
          <w:shd w:val="clear" w:color="auto" w:fill="FFFFFF"/>
        </w:rPr>
      </w:pPr>
    </w:p>
    <w:p w14:paraId="3F2F2230"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Bariatric surgery, once the criterion standard in obesity treatment, has a small but concerning association with increased suicidality. Glucagon-like peptide 1 receptor agonists (GLP-1 RAs), originally developed to treat diabetes, now provide substantial efficacy in the treatment of obesity. However, concerns of risk of suicidality with these medicines have been raised.</w:t>
      </w:r>
    </w:p>
    <w:p w14:paraId="0E3F7026"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evaluate the risk of suicidality and self-harm in randomized, placebo-controlled trials of GLP-1 RAs in adults with diabetes or obesity.</w:t>
      </w:r>
    </w:p>
    <w:p w14:paraId="32BE0AB7"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Data sources: </w:t>
      </w:r>
      <w:r>
        <w:rPr>
          <w:rFonts w:ascii="Segoe UI" w:hAnsi="Segoe UI" w:cs="Segoe UI"/>
          <w:color w:val="212121"/>
        </w:rPr>
        <w:t>MEDLINE, Embase, ClinicalTrials.gov, and Cochrane databases were systematically searched from inception to August 29, 2023.</w:t>
      </w:r>
    </w:p>
    <w:p w14:paraId="3FADEF10"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Study selection: </w:t>
      </w:r>
      <w:r>
        <w:rPr>
          <w:rFonts w:ascii="Segoe UI" w:hAnsi="Segoe UI" w:cs="Segoe UI"/>
          <w:color w:val="212121"/>
        </w:rPr>
        <w:t>Reports of randomized clinical trials (RCTs) lasting 6 or more months comparing GLP-1 RAs with placebo for the treatment of diabetes or obesity published in peer-reviewed journals were identified. Two independent reviewers screened all search-</w:t>
      </w:r>
      <w:r>
        <w:rPr>
          <w:rFonts w:ascii="Segoe UI" w:hAnsi="Segoe UI" w:cs="Segoe UI"/>
          <w:color w:val="212121"/>
        </w:rPr>
        <w:lastRenderedPageBreak/>
        <w:t>identified studies for inclusion. Records of outcomes were queried from primary papers, ClinicalTrials.gov entries, and corresponding authors.</w:t>
      </w:r>
    </w:p>
    <w:p w14:paraId="0EB917D3"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Data extraction and synthesis: </w:t>
      </w:r>
      <w:r>
        <w:rPr>
          <w:rFonts w:ascii="Segoe UI" w:hAnsi="Segoe UI" w:cs="Segoe UI"/>
          <w:color w:val="212121"/>
        </w:rPr>
        <w:t>Two independent researchers abstracted data and assessed data quality and validity using PRISMA guidelines. Data were pooled using random-effects models.</w:t>
      </w:r>
    </w:p>
    <w:p w14:paraId="6DD3B96A"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Pooled incidence of completed or attempted suicide, occurrences of suicidal ideation, or self-harm.</w:t>
      </w:r>
    </w:p>
    <w:p w14:paraId="6E7D0773"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A total of 27 of 144 RCTs meeting inclusion criteria systematically recorded suicide and/or self-harm-related events and included 32 354 individuals receiving GLP-1 RAs and 27 042 treated with placebo, over 69 653 and 63 853 person-years of exposure, respectively. Event incidence was very low in the GLP-1 RA (0.047 per 100 person-years) and placebo (0.042 per 100 person-years) groups, with no statistically significant difference (rate ratio [RR], 0.76; 95% CI, 0.48-1.21; P = .25). Subgroup analyses did not suggest differences in outcomes based on diabetes status or GLP-1 RA used. Five studies were considered at risk of bias due to the loss of more than 5% of participants to follow-up. Otherwise, studies were not found to be heterogeneous nor at high risk of bias.</w:t>
      </w:r>
    </w:p>
    <w:p w14:paraId="4D93AEDA"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 xml:space="preserve">There is unlikely to be an increase in the very low incidence of suicide-related adverse events among individuals receiving GLP-1 RAs within the context of RCTs. While these findings may further ease concerns about these adverse effects, continued monitoring is warranted to identify </w:t>
      </w:r>
      <w:proofErr w:type="gramStart"/>
      <w:r>
        <w:rPr>
          <w:rFonts w:ascii="Segoe UI" w:hAnsi="Segoe UI" w:cs="Segoe UI"/>
          <w:color w:val="212121"/>
        </w:rPr>
        <w:t>particular patients</w:t>
      </w:r>
      <w:proofErr w:type="gramEnd"/>
      <w:r>
        <w:rPr>
          <w:rFonts w:ascii="Segoe UI" w:hAnsi="Segoe UI" w:cs="Segoe UI"/>
          <w:color w:val="212121"/>
        </w:rPr>
        <w:t xml:space="preserve"> who may be at risk as extended use of GLP-1 RAs expands.</w:t>
      </w:r>
    </w:p>
    <w:p w14:paraId="3E9A3822" w14:textId="77777777" w:rsidR="00CB648C" w:rsidRDefault="00CB648C" w:rsidP="00CB648C">
      <w:pPr>
        <w:pStyle w:val="Heading1"/>
        <w:shd w:val="clear" w:color="auto" w:fill="FFFFFF"/>
        <w:rPr>
          <w:rFonts w:ascii="Merriweather" w:hAnsi="Merriweather"/>
          <w:color w:val="212121"/>
        </w:rPr>
      </w:pPr>
      <w:bookmarkStart w:id="10" w:name="_Toc211325135"/>
      <w:r>
        <w:rPr>
          <w:rFonts w:ascii="Merriweather" w:hAnsi="Merriweather"/>
          <w:color w:val="212121"/>
        </w:rPr>
        <w:t>Ketamine-Associated Uropathy During Therapeutic and Nontherapeutic Use: Prevalence, Clinical Features, Mechanisms, and Strategies for Risk Reduction</w:t>
      </w:r>
      <w:bookmarkEnd w:id="10"/>
    </w:p>
    <w:p w14:paraId="1D4C9B83" w14:textId="77777777" w:rsidR="00CB648C" w:rsidRDefault="00CB648C" w:rsidP="00B35071">
      <w:pPr>
        <w:spacing w:after="0" w:line="240" w:lineRule="auto"/>
        <w:textAlignment w:val="baseline"/>
        <w:rPr>
          <w:rFonts w:ascii="Calibri" w:eastAsia="Times New Roman" w:hAnsi="Calibri" w:cs="Calibri"/>
          <w:color w:val="000000"/>
        </w:rPr>
      </w:pPr>
    </w:p>
    <w:p w14:paraId="7CE527BF" w14:textId="1AACB206" w:rsidR="00CB648C" w:rsidRDefault="00CB648C"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Andrade C. Ketamine-Associated Uropathy During Therapeutic and Nontherapeutic Use: Prevalence, Clinical Features, Mechanisms, and Strategies for Risk Reduction. J Clin Psychiatry. 2025 Sep 10;86(4):25f16083.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10.4088/JCP.25f16083. </w:t>
      </w:r>
      <w:hyperlink r:id="rId18" w:history="1">
        <w:r w:rsidRPr="00CB648C">
          <w:rPr>
            <w:rStyle w:val="Hyperlink"/>
            <w:rFonts w:ascii="Segoe UI" w:hAnsi="Segoe UI" w:cs="Segoe UI"/>
            <w:shd w:val="clear" w:color="auto" w:fill="FFFFFF"/>
          </w:rPr>
          <w:t>PMID: 40965833</w:t>
        </w:r>
      </w:hyperlink>
      <w:r>
        <w:rPr>
          <w:rFonts w:ascii="Segoe UI" w:hAnsi="Segoe UI" w:cs="Segoe UI"/>
          <w:color w:val="212121"/>
          <w:shd w:val="clear" w:color="auto" w:fill="FFFFFF"/>
        </w:rPr>
        <w:t>.</w:t>
      </w:r>
    </w:p>
    <w:p w14:paraId="361B6FAF" w14:textId="77777777" w:rsidR="00CB648C" w:rsidRDefault="00CB648C" w:rsidP="00B35071">
      <w:pPr>
        <w:spacing w:after="0" w:line="240" w:lineRule="auto"/>
        <w:textAlignment w:val="baseline"/>
        <w:rPr>
          <w:rFonts w:ascii="Segoe UI" w:hAnsi="Segoe UI" w:cs="Segoe UI"/>
          <w:color w:val="212121"/>
          <w:shd w:val="clear" w:color="auto" w:fill="FFFFFF"/>
        </w:rPr>
      </w:pPr>
    </w:p>
    <w:p w14:paraId="6FA6340F" w14:textId="5A2F2559" w:rsidR="00CB648C" w:rsidRDefault="00CB648C"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Ketamine, introduced as an anesthetic drug, is now used for many indications beyond anesthesia; it is also increasingly a drug of abuse. Long-term recreational use and abuse of ketamine are associated with urological risks. This article discusses ketamine-associated uropathy from the perspective of prevalence, clinical features, mechanisms, and strategies for risk reduction in patients who require long term maintenance therapy with the drug for psychiatric indications. A systematic review and meta-analysis of 37 studies of uropathy in </w:t>
      </w:r>
      <w:r>
        <w:rPr>
          <w:rFonts w:ascii="Segoe UI" w:hAnsi="Segoe UI" w:cs="Segoe UI"/>
          <w:color w:val="212121"/>
          <w:shd w:val="clear" w:color="auto" w:fill="FFFFFF"/>
        </w:rPr>
        <w:lastRenderedPageBreak/>
        <w:t>recreational (ab)users obtained prevalences of 44% to 77% for lower urinary tract symptoms and 8% to 30% for upper urinary tract disease; for reasons explained, these findings are potentially misleading and cannot be extrapolated to therapeutic contexts. More recent studies, using different methods of case ascertainment, present lower risks (2% to 27%). A systematic review of 27 studies of ketamine used to treat psychiatric disorders, mainly depression, found urological symptoms in 0% to 24% of patients; however, in 14 randomized controlled trials, urological symptom prevalences differed little between ketamine and comparison arms. The review presented no convincing evidence of ketamine-associated uropathy arising in therapeutic contexts. The literature on ketamine-associated uropathy is critically examined; reasons for false positive uropathy findings are considered. Ketamine pharmacokinetics are described to assist the understanding of how ketamine and its metabolites may predispose to uropathy. Mechanisms of uropathy, arising from exposure to ketamine and its metabolites in urine (rather than in circulation), are summarized. A reasonable conclusion is that higher doses of ketamine, more frequent dosing with ketamine, longer duration of treatment with ketamine, and oral administration of ketamine are all potential risk factors for ketamine-associated uropathy during maintenance therapy. High hydration and frequent voiding of urine on treatment days can reduce exposure of the bladder to ketamine and its metabolites, reducing urological risks. Fortnightly or monthly urine testing is also advisable.</w:t>
      </w:r>
    </w:p>
    <w:p w14:paraId="03238918" w14:textId="77777777" w:rsidR="00CB648C" w:rsidRDefault="00CB648C" w:rsidP="00B35071">
      <w:pPr>
        <w:spacing w:after="0" w:line="240" w:lineRule="auto"/>
        <w:textAlignment w:val="baseline"/>
        <w:rPr>
          <w:rFonts w:ascii="Segoe UI" w:hAnsi="Segoe UI" w:cs="Segoe UI"/>
          <w:color w:val="212121"/>
          <w:shd w:val="clear" w:color="auto" w:fill="FFFFFF"/>
        </w:rPr>
      </w:pPr>
    </w:p>
    <w:p w14:paraId="779A7AA9" w14:textId="77777777" w:rsidR="00CB648C" w:rsidRDefault="00CB648C" w:rsidP="00CB648C">
      <w:pPr>
        <w:pStyle w:val="Heading1"/>
        <w:shd w:val="clear" w:color="auto" w:fill="FFFFFF"/>
        <w:rPr>
          <w:rFonts w:ascii="Merriweather" w:hAnsi="Merriweather"/>
          <w:color w:val="212121"/>
        </w:rPr>
      </w:pPr>
      <w:bookmarkStart w:id="11" w:name="_Toc211325136"/>
      <w:r>
        <w:rPr>
          <w:rFonts w:ascii="Merriweather" w:hAnsi="Merriweather"/>
          <w:color w:val="212121"/>
        </w:rPr>
        <w:t>A pilot study examining a ketogenic diet as an adjunct therapy in college students with major depressive disorder</w:t>
      </w:r>
      <w:bookmarkEnd w:id="11"/>
    </w:p>
    <w:p w14:paraId="7473251B" w14:textId="77777777" w:rsidR="00CB648C" w:rsidRDefault="00CB648C" w:rsidP="00B35071">
      <w:pPr>
        <w:spacing w:after="0" w:line="240" w:lineRule="auto"/>
        <w:textAlignment w:val="baseline"/>
        <w:rPr>
          <w:rFonts w:ascii="Calibri" w:eastAsia="Times New Roman" w:hAnsi="Calibri" w:cs="Calibri"/>
          <w:color w:val="000000"/>
        </w:rPr>
      </w:pPr>
    </w:p>
    <w:p w14:paraId="75BC0F63" w14:textId="4C58DF29" w:rsidR="00CB648C" w:rsidRDefault="00CB648C"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Decker DD, Patel R, </w:t>
      </w:r>
      <w:proofErr w:type="spellStart"/>
      <w:r>
        <w:rPr>
          <w:rFonts w:ascii="Segoe UI" w:hAnsi="Segoe UI" w:cs="Segoe UI"/>
          <w:color w:val="212121"/>
          <w:shd w:val="clear" w:color="auto" w:fill="FFFFFF"/>
        </w:rPr>
        <w:t>Cheavens</w:t>
      </w:r>
      <w:proofErr w:type="spellEnd"/>
      <w:r>
        <w:rPr>
          <w:rFonts w:ascii="Segoe UI" w:hAnsi="Segoe UI" w:cs="Segoe UI"/>
          <w:color w:val="212121"/>
          <w:shd w:val="clear" w:color="auto" w:fill="FFFFFF"/>
        </w:rPr>
        <w:t xml:space="preserve"> J, Hayes SM, Whitted W, Lee AJ, Buga A, Robinson BT, Crabtree CD, Kackley ML, Stoner JT, Sapper TN, Chebbi A, Volek JS. A pilot study examining a ketogenic diet as an adjunct therapy in college students with major depressive disorder. </w:t>
      </w:r>
      <w:proofErr w:type="spellStart"/>
      <w:r>
        <w:rPr>
          <w:rFonts w:ascii="Segoe UI" w:hAnsi="Segoe UI" w:cs="Segoe UI"/>
          <w:color w:val="212121"/>
          <w:shd w:val="clear" w:color="auto" w:fill="FFFFFF"/>
        </w:rPr>
        <w:t>Transl</w:t>
      </w:r>
      <w:proofErr w:type="spellEnd"/>
      <w:r>
        <w:rPr>
          <w:rFonts w:ascii="Segoe UI" w:hAnsi="Segoe UI" w:cs="Segoe UI"/>
          <w:color w:val="212121"/>
          <w:shd w:val="clear" w:color="auto" w:fill="FFFFFF"/>
        </w:rPr>
        <w:t xml:space="preserve"> Psychiatry. 2025 Sep 10;15(1):322.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10.1038/s41398-025-03544-8. </w:t>
      </w:r>
      <w:hyperlink r:id="rId19" w:history="1">
        <w:r w:rsidRPr="00CB648C">
          <w:rPr>
            <w:rStyle w:val="Hyperlink"/>
            <w:rFonts w:ascii="Segoe UI" w:hAnsi="Segoe UI" w:cs="Segoe UI"/>
            <w:shd w:val="clear" w:color="auto" w:fill="FFFFFF"/>
          </w:rPr>
          <w:t>PMID: 40925905</w:t>
        </w:r>
      </w:hyperlink>
      <w:r>
        <w:rPr>
          <w:rFonts w:ascii="Segoe UI" w:hAnsi="Segoe UI" w:cs="Segoe UI"/>
          <w:color w:val="212121"/>
          <w:shd w:val="clear" w:color="auto" w:fill="FFFFFF"/>
        </w:rPr>
        <w:t>; PMCID: PMC12420795.</w:t>
      </w:r>
    </w:p>
    <w:p w14:paraId="31D9FEB8" w14:textId="77777777" w:rsidR="00CB648C" w:rsidRDefault="00CB648C" w:rsidP="00B35071">
      <w:pPr>
        <w:spacing w:after="0" w:line="240" w:lineRule="auto"/>
        <w:textAlignment w:val="baseline"/>
        <w:rPr>
          <w:rFonts w:ascii="Segoe UI" w:hAnsi="Segoe UI" w:cs="Segoe UI"/>
          <w:color w:val="212121"/>
          <w:shd w:val="clear" w:color="auto" w:fill="FFFFFF"/>
        </w:rPr>
      </w:pPr>
    </w:p>
    <w:p w14:paraId="5E3D798F" w14:textId="0E2FA319" w:rsidR="00CB648C" w:rsidRPr="00395EBE" w:rsidRDefault="00CB648C" w:rsidP="00395EBE">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CB648C">
        <w:rPr>
          <w:rFonts w:ascii="Segoe UI" w:eastAsia="Times New Roman" w:hAnsi="Segoe UI" w:cs="Segoe UI"/>
          <w:color w:val="212121"/>
          <w:sz w:val="24"/>
          <w:szCs w:val="24"/>
        </w:rPr>
        <w:t xml:space="preserve">A ketogenic diet (KD) has shown promise as an adjunctive therapy for neurological and neuropsychiatric disorders, including bipolar disorder and major depressive disorder (MDD). We examined tolerance for a KD in young adults with MDD and assessed symptoms of depression and metabolic health. Students (n = 24) with a confirmed diagnosis of MDD at baseline receiving standard of care counseling and/or medication treatment were enrolled in a </w:t>
      </w:r>
      <w:proofErr w:type="gramStart"/>
      <w:r w:rsidRPr="00CB648C">
        <w:rPr>
          <w:rFonts w:ascii="Segoe UI" w:eastAsia="Times New Roman" w:hAnsi="Segoe UI" w:cs="Segoe UI"/>
          <w:color w:val="212121"/>
          <w:sz w:val="24"/>
          <w:szCs w:val="24"/>
        </w:rPr>
        <w:t>10-12 week</w:t>
      </w:r>
      <w:proofErr w:type="gramEnd"/>
      <w:r w:rsidRPr="00CB648C">
        <w:rPr>
          <w:rFonts w:ascii="Segoe UI" w:eastAsia="Times New Roman" w:hAnsi="Segoe UI" w:cs="Segoe UI"/>
          <w:color w:val="212121"/>
          <w:sz w:val="24"/>
          <w:szCs w:val="24"/>
        </w:rPr>
        <w:t xml:space="preserve"> KD intervention that included partial provision of ketogenic-appropriate food items, frequent dietary counseling, and daily morning tracking of capillary R-beta-hydroxybutyrate (R-BHB). Primary outcome measures for mood symptoms included the Patient Health Questionnaire (PHQ-9) and Hamilton Rating Scale for Depression (HRSD). Additional outcomes included body composition, neurocognitive function, and blood hormonal and inflammatory markers. Sixteen students (10 women, 6 men, mean age 24 yr) completed the intervention. Nutritional ketosis (R-BHB &gt; 0.5 mM) was achieved 73% of the time. Depressive symptoms </w:t>
      </w:r>
      <w:r w:rsidRPr="00CB648C">
        <w:rPr>
          <w:rFonts w:ascii="Segoe UI" w:eastAsia="Times New Roman" w:hAnsi="Segoe UI" w:cs="Segoe UI"/>
          <w:color w:val="212121"/>
          <w:sz w:val="24"/>
          <w:szCs w:val="24"/>
        </w:rPr>
        <w:lastRenderedPageBreak/>
        <w:t>decreased by 69% (PHQ-9) and 71% (HRSD) post-intervention (p &lt; 0.001), with improvement occurring within 2-6 weeks. Global well-being increased nearly 3-fold (p &lt; 0.001). Participants lost body mass (-6.2%; p = 0.002) and fat mass (-13.0%; p &lt; 0.001). Serum leptin decreased (-52%; p = 0.009) and brain-derived neurotropic factor increased (+32%; p = 0.029). Performance improved on several cognitive tasks. In students with mild to moderate depression based on PHQ-9 and HRSD, implementation of a WFKD for 10-12 weeks is a feasible adjunctive therapy and may be associated with improvements in depression symptoms, well-being, body composition, and cognition.</w:t>
      </w:r>
    </w:p>
    <w:p w14:paraId="71193D90" w14:textId="77777777" w:rsidR="00CB648C" w:rsidRDefault="00CB648C" w:rsidP="00CB648C">
      <w:pPr>
        <w:pStyle w:val="Heading1"/>
        <w:shd w:val="clear" w:color="auto" w:fill="FFFFFF"/>
        <w:rPr>
          <w:rFonts w:ascii="Merriweather" w:hAnsi="Merriweather"/>
          <w:color w:val="212121"/>
        </w:rPr>
      </w:pPr>
      <w:bookmarkStart w:id="12" w:name="_Toc211325137"/>
      <w:r>
        <w:rPr>
          <w:rFonts w:ascii="Merriweather" w:hAnsi="Merriweather"/>
          <w:color w:val="212121"/>
        </w:rPr>
        <w:t>Occurrence of Psychosis and Bipolar Disorder in Individuals With Attention-Deficit/Hyperactivity Disorder Treated With Stimulants: A Systematic Review and Meta-Analysis</w:t>
      </w:r>
      <w:bookmarkEnd w:id="12"/>
    </w:p>
    <w:p w14:paraId="37B8C0EA" w14:textId="77777777" w:rsidR="00CB648C" w:rsidRDefault="00CB648C" w:rsidP="00B35071">
      <w:pPr>
        <w:spacing w:after="0" w:line="240" w:lineRule="auto"/>
        <w:textAlignment w:val="baseline"/>
        <w:rPr>
          <w:rFonts w:ascii="Segoe UI" w:hAnsi="Segoe UI" w:cs="Segoe UI"/>
          <w:color w:val="212121"/>
          <w:shd w:val="clear" w:color="auto" w:fill="FFFFFF"/>
        </w:rPr>
      </w:pPr>
    </w:p>
    <w:p w14:paraId="0793A57A" w14:textId="1B49A127" w:rsidR="00CB648C" w:rsidRDefault="00CB648C"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Salazar de Pablo G, Aymerich C, Chart-Pascual JP, </w:t>
      </w:r>
      <w:proofErr w:type="spellStart"/>
      <w:r>
        <w:rPr>
          <w:rFonts w:ascii="Segoe UI" w:hAnsi="Segoe UI" w:cs="Segoe UI"/>
          <w:color w:val="212121"/>
          <w:shd w:val="clear" w:color="auto" w:fill="FFFFFF"/>
        </w:rPr>
        <w:t>Solmi</w:t>
      </w:r>
      <w:proofErr w:type="spellEnd"/>
      <w:r>
        <w:rPr>
          <w:rFonts w:ascii="Segoe UI" w:hAnsi="Segoe UI" w:cs="Segoe UI"/>
          <w:color w:val="212121"/>
          <w:shd w:val="clear" w:color="auto" w:fill="FFFFFF"/>
        </w:rPr>
        <w:t xml:space="preserve"> M, Torres-Cortes J, </w:t>
      </w:r>
      <w:proofErr w:type="spellStart"/>
      <w:r>
        <w:rPr>
          <w:rFonts w:ascii="Segoe UI" w:hAnsi="Segoe UI" w:cs="Segoe UI"/>
          <w:color w:val="212121"/>
          <w:shd w:val="clear" w:color="auto" w:fill="FFFFFF"/>
        </w:rPr>
        <w:t>Abdelhafez</w:t>
      </w:r>
      <w:proofErr w:type="spellEnd"/>
      <w:r>
        <w:rPr>
          <w:rFonts w:ascii="Segoe UI" w:hAnsi="Segoe UI" w:cs="Segoe UI"/>
          <w:color w:val="212121"/>
          <w:shd w:val="clear" w:color="auto" w:fill="FFFFFF"/>
        </w:rPr>
        <w:t xml:space="preserve"> N, Catalan A, Corbeil O, Adamo N, Shaw P, </w:t>
      </w:r>
      <w:proofErr w:type="spellStart"/>
      <w:r>
        <w:rPr>
          <w:rFonts w:ascii="Segoe UI" w:hAnsi="Segoe UI" w:cs="Segoe UI"/>
          <w:color w:val="212121"/>
          <w:shd w:val="clear" w:color="auto" w:fill="FFFFFF"/>
        </w:rPr>
        <w:t>Fusar</w:t>
      </w:r>
      <w:proofErr w:type="spellEnd"/>
      <w:r>
        <w:rPr>
          <w:rFonts w:ascii="Segoe UI" w:hAnsi="Segoe UI" w:cs="Segoe UI"/>
          <w:color w:val="212121"/>
          <w:shd w:val="clear" w:color="auto" w:fill="FFFFFF"/>
        </w:rPr>
        <w:t xml:space="preserve">-Poli P, Cortese S. Occurrence of Psychosis and Bipolar Disorder in Individuals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Attention-Deficit/Hyperactivity Disorder Treated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Stimulants: A Systematic Review and Meta-Analysis. JAMA Psychiatry. 2025 Sep </w:t>
      </w:r>
      <w:proofErr w:type="gramStart"/>
      <w:r>
        <w:rPr>
          <w:rFonts w:ascii="Segoe UI" w:hAnsi="Segoe UI" w:cs="Segoe UI"/>
          <w:color w:val="212121"/>
          <w:shd w:val="clear" w:color="auto" w:fill="FFFFFF"/>
        </w:rPr>
        <w:t>3:e</w:t>
      </w:r>
      <w:proofErr w:type="gramEnd"/>
      <w:r>
        <w:rPr>
          <w:rFonts w:ascii="Segoe UI" w:hAnsi="Segoe UI" w:cs="Segoe UI"/>
          <w:color w:val="212121"/>
          <w:shd w:val="clear" w:color="auto" w:fill="FFFFFF"/>
        </w:rPr>
        <w:t xml:space="preserve">252311.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10.1001/jamapsychiatry.2025.2311.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0" w:history="1">
        <w:r w:rsidRPr="00CB648C">
          <w:rPr>
            <w:rStyle w:val="Hyperlink"/>
            <w:rFonts w:ascii="Segoe UI" w:hAnsi="Segoe UI" w:cs="Segoe UI"/>
            <w:shd w:val="clear" w:color="auto" w:fill="FFFFFF"/>
          </w:rPr>
          <w:t>PMID: 40900605</w:t>
        </w:r>
      </w:hyperlink>
      <w:r>
        <w:rPr>
          <w:rFonts w:ascii="Segoe UI" w:hAnsi="Segoe UI" w:cs="Segoe UI"/>
          <w:color w:val="212121"/>
          <w:shd w:val="clear" w:color="auto" w:fill="FFFFFF"/>
        </w:rPr>
        <w:t>; PMCID: PMC12409658.</w:t>
      </w:r>
    </w:p>
    <w:p w14:paraId="1B38BC35" w14:textId="77777777" w:rsidR="00CB648C" w:rsidRDefault="00CB648C" w:rsidP="00B35071">
      <w:pPr>
        <w:spacing w:after="0" w:line="240" w:lineRule="auto"/>
        <w:textAlignment w:val="baseline"/>
        <w:rPr>
          <w:rFonts w:ascii="Segoe UI" w:hAnsi="Segoe UI" w:cs="Segoe UI"/>
          <w:color w:val="212121"/>
          <w:shd w:val="clear" w:color="auto" w:fill="FFFFFF"/>
        </w:rPr>
      </w:pPr>
    </w:p>
    <w:p w14:paraId="6E949617"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Individuals with attention-deficit/hyperactivity disorder (ADHD) may present with psychosis or bipolar disorder (BD) following treatment with stimulants. The extent to which this occurs is currently unclear.</w:t>
      </w:r>
    </w:p>
    <w:p w14:paraId="554EE9F7"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meta-analytically quantify the occurrence of psychosis or BD after exposure to stimulants in individuals with ADHD and assess possible moderating factors.</w:t>
      </w:r>
    </w:p>
    <w:p w14:paraId="4F727B13"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Data sources: </w:t>
      </w:r>
      <w:r>
        <w:rPr>
          <w:rFonts w:ascii="Segoe UI" w:hAnsi="Segoe UI" w:cs="Segoe UI"/>
          <w:color w:val="212121"/>
        </w:rPr>
        <w:t>PubMed, Web of Science, Ovid/PsycINFO, and Cochrane Central Register of Reviews were searched from inception until October 1, 2024, without language restrictions.</w:t>
      </w:r>
    </w:p>
    <w:p w14:paraId="75E879A4"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Study selection: </w:t>
      </w:r>
      <w:r>
        <w:rPr>
          <w:rFonts w:ascii="Segoe UI" w:hAnsi="Segoe UI" w:cs="Segoe UI"/>
          <w:color w:val="212121"/>
        </w:rPr>
        <w:t>Studies of any design with DSM or International Classification of Diseases-defined ADHD populations exposed to stimulants, where psychosis or BD outcomes were evaluated.</w:t>
      </w:r>
    </w:p>
    <w:p w14:paraId="728F7E70"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Data extraction and synthesis: </w:t>
      </w:r>
      <w:r>
        <w:rPr>
          <w:rFonts w:ascii="Segoe UI" w:hAnsi="Segoe UI" w:cs="Segoe UI"/>
          <w:color w:val="212121"/>
        </w:rPr>
        <w:t>PRISMA Preferred Reporting Items for Systematic Reviews and Meta-analyses and MOOSE Meta-analysis of Observational Studies in Epidemiology guidelines were followed, the protocol was registered, and the Newcastle-Ottawa scale and Cochrane risk of bias-2 tool were used for quality appraisal. Random-effects meta-analysis, subgroup analyses, and meta-regressions were conducted.</w:t>
      </w:r>
    </w:p>
    <w:p w14:paraId="05F28441"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lastRenderedPageBreak/>
        <w:t>Main outcomes and measures: </w:t>
      </w:r>
      <w:r>
        <w:rPr>
          <w:rFonts w:ascii="Segoe UI" w:hAnsi="Segoe UI" w:cs="Segoe UI"/>
          <w:color w:val="212121"/>
        </w:rPr>
        <w:t>For the proportion of individuals developing psychotic symptoms, psychotic disorders, and BD, effect sizes are reported as percentages with 95% CIs. For the comparison between amphetamines and methylphenidate, effect sizes are presented as odds ratios with 95% CIs.</w:t>
      </w:r>
    </w:p>
    <w:p w14:paraId="43C864F0"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Sixteen studies (N = 391 043; mean [range] age, 12.6 [8.5-31.1] years; 288 199 [73.7%] male) were eligible. Among individuals with ADHD prescribed stimulants, 2.76% (95% CI, 0.73-9.88; k = 10; n = 237 035), 2.29% (95% CI, 1.52-3.40; k = 4; n = 91 437), and 3.72% (95% CI, 0.77-16.05; k = 4; n = 92 945) developed psychotic symptoms, a psychotic disorder, and BD, respectively. Heterogeneity across the studies was significant (I2 &gt; 95%). Psychosis occurrence risk was significantly higher in individuals exposed to amphetamines than to methylphenidate (odds ratio [OR], 1.57, 95% CI, 1.15-2.16; k = 3, n = 231 325). Subgroup analyses showed significantly higher prevalence of psychotic symptoms in studies from North America and in those with longer follow-up periods. Increased psychosis occurrence was associated with a higher proportion of female participants, smaller sample sizes, and higher dose of stimulants.</w:t>
      </w:r>
    </w:p>
    <w:p w14:paraId="79D53548" w14:textId="77777777" w:rsidR="00CB648C" w:rsidRDefault="00CB648C" w:rsidP="00CB648C">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This systematic review and meta-analysis found a nonnegligible occurrence of psychotic symptoms, psychotic disorders, or BD in individuals with ADHD treated with stimulants. Amphetamines were associated with higher occurrence compared to methylphenidate. The included studies cannot establish causality, highlighting the need for further research, including randomized clinical trials and mirror-image studies comparing individuals exposed and not exposed to stimulants. Nonetheless, clinicians should inform patients about the increased occurrence of psychosis or BD when discussing stimulant pharmacotherapy and systematically monitor for these conditions throughout treatment.</w:t>
      </w:r>
    </w:p>
    <w:p w14:paraId="704223CF" w14:textId="77777777" w:rsidR="00BD671A" w:rsidRPr="00BD671A" w:rsidRDefault="00BD671A" w:rsidP="00BD671A">
      <w:pPr>
        <w:pStyle w:val="Heading1"/>
        <w:shd w:val="clear" w:color="auto" w:fill="FFFFFF"/>
        <w:spacing w:before="0" w:line="450" w:lineRule="atLeast"/>
        <w:rPr>
          <w:rFonts w:ascii="Merriweather" w:hAnsi="Merriweather"/>
          <w:color w:val="1B1B1B"/>
        </w:rPr>
      </w:pPr>
      <w:bookmarkStart w:id="13" w:name="_Toc211325138"/>
      <w:r w:rsidRPr="00BD671A">
        <w:rPr>
          <w:rFonts w:ascii="Merriweather" w:hAnsi="Merriweather"/>
          <w:color w:val="1B1B1B"/>
        </w:rPr>
        <w:t>New Episodes and Suicidal Risks in Bipolar and Major Depressive Disorder Patients During Versus Before Long</w:t>
      </w:r>
      <w:r w:rsidRPr="00BD671A">
        <w:rPr>
          <w:rFonts w:ascii="Cambria Math" w:hAnsi="Cambria Math" w:cs="Cambria Math"/>
          <w:color w:val="1B1B1B"/>
        </w:rPr>
        <w:t>‐</w:t>
      </w:r>
      <w:r w:rsidRPr="00BD671A">
        <w:rPr>
          <w:rFonts w:ascii="Merriweather" w:hAnsi="Merriweather"/>
          <w:color w:val="1B1B1B"/>
        </w:rPr>
        <w:t>Term Treatment With Lithium</w:t>
      </w:r>
      <w:bookmarkEnd w:id="13"/>
    </w:p>
    <w:p w14:paraId="0B7CE366" w14:textId="77777777" w:rsidR="00CB648C" w:rsidRDefault="00CB648C" w:rsidP="00B35071">
      <w:pPr>
        <w:spacing w:after="0" w:line="240" w:lineRule="auto"/>
        <w:textAlignment w:val="baseline"/>
        <w:rPr>
          <w:rFonts w:ascii="Segoe UI" w:hAnsi="Segoe UI" w:cs="Segoe UI"/>
          <w:color w:val="212121"/>
          <w:shd w:val="clear" w:color="auto" w:fill="FFFFFF"/>
        </w:rPr>
      </w:pPr>
    </w:p>
    <w:p w14:paraId="7A7B6763" w14:textId="77777777" w:rsidR="00BD671A" w:rsidRPr="00BD671A" w:rsidRDefault="00BD671A" w:rsidP="00BD671A">
      <w:pPr>
        <w:spacing w:after="0" w:line="240" w:lineRule="auto"/>
        <w:textAlignment w:val="baseline"/>
        <w:rPr>
          <w:rFonts w:ascii="Segoe UI" w:hAnsi="Segoe UI" w:cs="Segoe UI"/>
          <w:b/>
          <w:bCs/>
          <w:color w:val="212121"/>
          <w:shd w:val="clear" w:color="auto" w:fill="FFFFFF"/>
        </w:rPr>
      </w:pPr>
      <w:r w:rsidRPr="00BD671A">
        <w:rPr>
          <w:rFonts w:ascii="Segoe UI" w:hAnsi="Segoe UI" w:cs="Segoe UI"/>
          <w:b/>
          <w:bCs/>
          <w:color w:val="212121"/>
          <w:shd w:val="clear" w:color="auto" w:fill="FFFFFF"/>
        </w:rPr>
        <w:t>Objectives</w:t>
      </w:r>
    </w:p>
    <w:p w14:paraId="6B3A2ECF" w14:textId="77777777" w:rsidR="00BD671A" w:rsidRPr="00BD671A" w:rsidRDefault="00BD671A" w:rsidP="00BD671A">
      <w:pPr>
        <w:spacing w:after="0" w:line="240" w:lineRule="auto"/>
        <w:textAlignment w:val="baseline"/>
        <w:rPr>
          <w:rFonts w:ascii="Segoe UI" w:hAnsi="Segoe UI" w:cs="Segoe UI"/>
          <w:color w:val="212121"/>
          <w:shd w:val="clear" w:color="auto" w:fill="FFFFFF"/>
        </w:rPr>
      </w:pPr>
      <w:r w:rsidRPr="00BD671A">
        <w:rPr>
          <w:rFonts w:ascii="Segoe UI" w:hAnsi="Segoe UI" w:cs="Segoe UI"/>
          <w:color w:val="212121"/>
          <w:shd w:val="clear" w:color="auto" w:fill="FFFFFF"/>
        </w:rPr>
        <w:t xml:space="preserve">Lithium treatment reduces the risk of recurring episodes in bipolar disorder (BD) and probably also in major depressive disorder (MDD) and has evidence of </w:t>
      </w:r>
      <w:proofErr w:type="spellStart"/>
      <w:r w:rsidRPr="00BD671A">
        <w:rPr>
          <w:rFonts w:ascii="Segoe UI" w:hAnsi="Segoe UI" w:cs="Segoe UI"/>
          <w:color w:val="212121"/>
          <w:shd w:val="clear" w:color="auto" w:fill="FFFFFF"/>
        </w:rPr>
        <w:t>antisuicidal</w:t>
      </w:r>
      <w:proofErr w:type="spellEnd"/>
      <w:r w:rsidRPr="00BD671A">
        <w:rPr>
          <w:rFonts w:ascii="Segoe UI" w:hAnsi="Segoe UI" w:cs="Segoe UI"/>
          <w:color w:val="212121"/>
          <w:shd w:val="clear" w:color="auto" w:fill="FFFFFF"/>
        </w:rPr>
        <w:t xml:space="preserve"> effects. Study objectives were to test for effects of adding lithium treatment for one year to a year of other treatments on risks of illness recurrence, suicidal ideation, and suicide attempts.</w:t>
      </w:r>
    </w:p>
    <w:p w14:paraId="32229FFB" w14:textId="77777777" w:rsidR="00BD671A" w:rsidRPr="00BD671A" w:rsidRDefault="00BD671A" w:rsidP="00BD671A">
      <w:pPr>
        <w:spacing w:after="0" w:line="240" w:lineRule="auto"/>
        <w:textAlignment w:val="baseline"/>
        <w:rPr>
          <w:rFonts w:ascii="Segoe UI" w:hAnsi="Segoe UI" w:cs="Segoe UI"/>
          <w:b/>
          <w:bCs/>
          <w:color w:val="212121"/>
          <w:shd w:val="clear" w:color="auto" w:fill="FFFFFF"/>
        </w:rPr>
      </w:pPr>
      <w:r w:rsidRPr="00BD671A">
        <w:rPr>
          <w:rFonts w:ascii="Segoe UI" w:hAnsi="Segoe UI" w:cs="Segoe UI"/>
          <w:b/>
          <w:bCs/>
          <w:color w:val="212121"/>
          <w:shd w:val="clear" w:color="auto" w:fill="FFFFFF"/>
        </w:rPr>
        <w:t>Methods</w:t>
      </w:r>
    </w:p>
    <w:p w14:paraId="75601F7F" w14:textId="77777777" w:rsidR="00BD671A" w:rsidRPr="00BD671A" w:rsidRDefault="00BD671A" w:rsidP="00BD671A">
      <w:pPr>
        <w:spacing w:after="0" w:line="240" w:lineRule="auto"/>
        <w:textAlignment w:val="baseline"/>
        <w:rPr>
          <w:rFonts w:ascii="Segoe UI" w:hAnsi="Segoe UI" w:cs="Segoe UI"/>
          <w:color w:val="212121"/>
          <w:shd w:val="clear" w:color="auto" w:fill="FFFFFF"/>
        </w:rPr>
      </w:pPr>
      <w:r w:rsidRPr="00BD671A">
        <w:rPr>
          <w:rFonts w:ascii="Segoe UI" w:hAnsi="Segoe UI" w:cs="Segoe UI"/>
          <w:color w:val="212121"/>
          <w:shd w:val="clear" w:color="auto" w:fill="FFFFFF"/>
        </w:rPr>
        <w:t xml:space="preserve">We compared 296 major mood disorder outpatients for 12 months with treatment that did not include lithium versus 12 months with lithium included. We considered differences in the </w:t>
      </w:r>
      <w:r w:rsidRPr="00BD671A">
        <w:rPr>
          <w:rFonts w:ascii="Segoe UI" w:hAnsi="Segoe UI" w:cs="Segoe UI"/>
          <w:color w:val="212121"/>
          <w:shd w:val="clear" w:color="auto" w:fill="FFFFFF"/>
        </w:rPr>
        <w:lastRenderedPageBreak/>
        <w:t>recurrence of new episodes of illness, new suicidal ideation and suicide attempts, and estimated time to these outcomes with survival analyses.</w:t>
      </w:r>
    </w:p>
    <w:p w14:paraId="03A537A3" w14:textId="77777777" w:rsidR="00BD671A" w:rsidRPr="00BD671A" w:rsidRDefault="00BD671A" w:rsidP="00BD671A">
      <w:pPr>
        <w:spacing w:after="0" w:line="240" w:lineRule="auto"/>
        <w:textAlignment w:val="baseline"/>
        <w:rPr>
          <w:rFonts w:ascii="Segoe UI" w:hAnsi="Segoe UI" w:cs="Segoe UI"/>
          <w:b/>
          <w:bCs/>
          <w:color w:val="212121"/>
          <w:shd w:val="clear" w:color="auto" w:fill="FFFFFF"/>
        </w:rPr>
      </w:pPr>
      <w:r w:rsidRPr="00BD671A">
        <w:rPr>
          <w:rFonts w:ascii="Segoe UI" w:hAnsi="Segoe UI" w:cs="Segoe UI"/>
          <w:b/>
          <w:bCs/>
          <w:color w:val="212121"/>
          <w:shd w:val="clear" w:color="auto" w:fill="FFFFFF"/>
        </w:rPr>
        <w:t>Results</w:t>
      </w:r>
    </w:p>
    <w:p w14:paraId="74541C4A" w14:textId="77777777" w:rsidR="00BD671A" w:rsidRPr="00BD671A" w:rsidRDefault="00BD671A" w:rsidP="00BD671A">
      <w:pPr>
        <w:spacing w:after="0" w:line="240" w:lineRule="auto"/>
        <w:textAlignment w:val="baseline"/>
        <w:rPr>
          <w:rFonts w:ascii="Segoe UI" w:hAnsi="Segoe UI" w:cs="Segoe UI"/>
          <w:color w:val="212121"/>
          <w:shd w:val="clear" w:color="auto" w:fill="FFFFFF"/>
        </w:rPr>
      </w:pPr>
      <w:r w:rsidRPr="00BD671A">
        <w:rPr>
          <w:rFonts w:ascii="Segoe UI" w:hAnsi="Segoe UI" w:cs="Segoe UI"/>
          <w:color w:val="212121"/>
          <w:shd w:val="clear" w:color="auto" w:fill="FFFFFF"/>
        </w:rPr>
        <w:t>With lithium treatment included, there were marked reductions in episode recurrences (3.12‐fold), suicidal ideation (4.78‐fold), and suicide attempts (6.54‐fold) in both BD and MDD patients, with corresponding delays to these outcomes.</w:t>
      </w:r>
    </w:p>
    <w:p w14:paraId="59CE25F0" w14:textId="77777777" w:rsidR="00BD671A" w:rsidRPr="00BD671A" w:rsidRDefault="00BD671A" w:rsidP="00BD671A">
      <w:pPr>
        <w:spacing w:after="0" w:line="240" w:lineRule="auto"/>
        <w:textAlignment w:val="baseline"/>
        <w:rPr>
          <w:rFonts w:ascii="Segoe UI" w:hAnsi="Segoe UI" w:cs="Segoe UI"/>
          <w:b/>
          <w:bCs/>
          <w:color w:val="212121"/>
          <w:shd w:val="clear" w:color="auto" w:fill="FFFFFF"/>
        </w:rPr>
      </w:pPr>
      <w:r w:rsidRPr="00BD671A">
        <w:rPr>
          <w:rFonts w:ascii="Segoe UI" w:hAnsi="Segoe UI" w:cs="Segoe UI"/>
          <w:b/>
          <w:bCs/>
          <w:color w:val="212121"/>
          <w:shd w:val="clear" w:color="auto" w:fill="FFFFFF"/>
        </w:rPr>
        <w:t>Conclusions</w:t>
      </w:r>
    </w:p>
    <w:p w14:paraId="549246F9" w14:textId="77777777" w:rsidR="00BD671A" w:rsidRPr="00BD671A" w:rsidRDefault="00BD671A" w:rsidP="00BD671A">
      <w:pPr>
        <w:spacing w:after="0" w:line="240" w:lineRule="auto"/>
        <w:textAlignment w:val="baseline"/>
        <w:rPr>
          <w:rFonts w:ascii="Segoe UI" w:hAnsi="Segoe UI" w:cs="Segoe UI"/>
          <w:color w:val="212121"/>
          <w:shd w:val="clear" w:color="auto" w:fill="FFFFFF"/>
        </w:rPr>
      </w:pPr>
      <w:r w:rsidRPr="00BD671A">
        <w:rPr>
          <w:rFonts w:ascii="Segoe UI" w:hAnsi="Segoe UI" w:cs="Segoe UI"/>
          <w:color w:val="212121"/>
          <w:shd w:val="clear" w:color="auto" w:fill="FFFFFF"/>
        </w:rPr>
        <w:t>Adding lithium treatment was strongly associated with reduced risk and delay of clinical recurrence, suicidal ideation and suicide attempts in both BD and MDD outpatients.</w:t>
      </w:r>
    </w:p>
    <w:p w14:paraId="2591FD0B" w14:textId="77777777" w:rsidR="00BD671A" w:rsidRDefault="00BD671A" w:rsidP="00B35071">
      <w:pPr>
        <w:spacing w:after="0" w:line="240" w:lineRule="auto"/>
        <w:textAlignment w:val="baseline"/>
        <w:rPr>
          <w:rFonts w:ascii="Segoe UI" w:hAnsi="Segoe UI" w:cs="Segoe UI"/>
          <w:color w:val="212121"/>
          <w:shd w:val="clear" w:color="auto" w:fill="FFFFFF"/>
        </w:rPr>
      </w:pPr>
    </w:p>
    <w:p w14:paraId="21C19C8F" w14:textId="77777777" w:rsidR="00BD671A" w:rsidRDefault="00BD671A" w:rsidP="00BD671A">
      <w:pPr>
        <w:pStyle w:val="Heading1"/>
        <w:shd w:val="clear" w:color="auto" w:fill="FFFFFF"/>
        <w:rPr>
          <w:rFonts w:ascii="Merriweather" w:hAnsi="Merriweather"/>
          <w:color w:val="212121"/>
        </w:rPr>
      </w:pPr>
      <w:bookmarkStart w:id="14" w:name="_Toc211325139"/>
      <w:r>
        <w:rPr>
          <w:rFonts w:ascii="Merriweather" w:hAnsi="Merriweather"/>
          <w:color w:val="212121"/>
        </w:rPr>
        <w:t>The Safety of 12-Weekly Monitoring of Neutrophil Count in Long-Term Clozapine Patients</w:t>
      </w:r>
      <w:bookmarkEnd w:id="14"/>
    </w:p>
    <w:p w14:paraId="3D39D969" w14:textId="77777777" w:rsidR="00CB648C" w:rsidRDefault="00CB648C" w:rsidP="00B35071">
      <w:pPr>
        <w:spacing w:after="0" w:line="240" w:lineRule="auto"/>
        <w:textAlignment w:val="baseline"/>
        <w:rPr>
          <w:rFonts w:ascii="Calibri" w:eastAsia="Times New Roman" w:hAnsi="Calibri" w:cs="Calibri"/>
          <w:color w:val="000000"/>
        </w:rPr>
      </w:pPr>
    </w:p>
    <w:p w14:paraId="3E61DC82" w14:textId="0DD53B14" w:rsidR="00BD671A" w:rsidRDefault="00BD671A"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Taylor D, Gee S, </w:t>
      </w:r>
      <w:proofErr w:type="spellStart"/>
      <w:r>
        <w:rPr>
          <w:rFonts w:ascii="Segoe UI" w:hAnsi="Segoe UI" w:cs="Segoe UI"/>
          <w:color w:val="212121"/>
          <w:shd w:val="clear" w:color="auto" w:fill="FFFFFF"/>
        </w:rPr>
        <w:t>Helthuis</w:t>
      </w:r>
      <w:proofErr w:type="spellEnd"/>
      <w:r>
        <w:rPr>
          <w:rFonts w:ascii="Segoe UI" w:hAnsi="Segoe UI" w:cs="Segoe UI"/>
          <w:color w:val="212121"/>
          <w:shd w:val="clear" w:color="auto" w:fill="FFFFFF"/>
        </w:rPr>
        <w:t xml:space="preserve"> M, Oloyede E. The Safety of 12-Weekly Monitoring of Neutrophil Count in Long-Term Clozapine Patients. Acta </w:t>
      </w:r>
      <w:proofErr w:type="spellStart"/>
      <w:r>
        <w:rPr>
          <w:rFonts w:ascii="Segoe UI" w:hAnsi="Segoe UI" w:cs="Segoe UI"/>
          <w:color w:val="212121"/>
          <w:shd w:val="clear" w:color="auto" w:fill="FFFFFF"/>
        </w:rPr>
        <w:t>Psychiatr</w:t>
      </w:r>
      <w:proofErr w:type="spellEnd"/>
      <w:r>
        <w:rPr>
          <w:rFonts w:ascii="Segoe UI" w:hAnsi="Segoe UI" w:cs="Segoe UI"/>
          <w:color w:val="212121"/>
          <w:shd w:val="clear" w:color="auto" w:fill="FFFFFF"/>
        </w:rPr>
        <w:t xml:space="preserve"> Scand. 2025 Sep;152(3):187-192.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10.1111/acps.13818.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May 3. </w:t>
      </w:r>
      <w:hyperlink r:id="rId21" w:anchor=":~:text=Conclusion%3A%20Reducing%20the%20frequency%20of,remained%20on%20extended%2Dinterval%20monitoring." w:history="1">
        <w:r w:rsidRPr="00BD671A">
          <w:rPr>
            <w:rStyle w:val="Hyperlink"/>
            <w:rFonts w:ascii="Segoe UI" w:hAnsi="Segoe UI" w:cs="Segoe UI"/>
            <w:shd w:val="clear" w:color="auto" w:fill="FFFFFF"/>
          </w:rPr>
          <w:t>PMID: 40844120</w:t>
        </w:r>
      </w:hyperlink>
      <w:r>
        <w:rPr>
          <w:rFonts w:ascii="Segoe UI" w:hAnsi="Segoe UI" w:cs="Segoe UI"/>
          <w:color w:val="212121"/>
          <w:shd w:val="clear" w:color="auto" w:fill="FFFFFF"/>
        </w:rPr>
        <w:t>; PMCID: PMC12318641.</w:t>
      </w:r>
    </w:p>
    <w:p w14:paraId="1542C52B" w14:textId="77777777" w:rsidR="00BD671A" w:rsidRDefault="00BD671A" w:rsidP="00B35071">
      <w:pPr>
        <w:spacing w:after="0" w:line="240" w:lineRule="auto"/>
        <w:textAlignment w:val="baseline"/>
        <w:rPr>
          <w:rFonts w:ascii="Segoe UI" w:hAnsi="Segoe UI" w:cs="Segoe UI"/>
          <w:color w:val="212121"/>
          <w:shd w:val="clear" w:color="auto" w:fill="FFFFFF"/>
        </w:rPr>
      </w:pPr>
    </w:p>
    <w:p w14:paraId="4A72EB4A" w14:textId="77777777" w:rsidR="00BD671A" w:rsidRDefault="00BD671A" w:rsidP="00BD671A">
      <w:pPr>
        <w:pStyle w:val="NormalWeb"/>
        <w:shd w:val="clear" w:color="auto" w:fill="FFFFFF"/>
        <w:rPr>
          <w:rFonts w:ascii="Segoe UI" w:hAnsi="Segoe UI" w:cs="Segoe UI"/>
          <w:color w:val="212121"/>
        </w:rPr>
      </w:pPr>
      <w:r>
        <w:rPr>
          <w:rStyle w:val="Strong"/>
          <w:rFonts w:ascii="Segoe UI" w:hAnsi="Segoe UI" w:cs="Segoe UI"/>
          <w:color w:val="212121"/>
        </w:rPr>
        <w:t>Introduction: </w:t>
      </w:r>
      <w:r>
        <w:rPr>
          <w:rFonts w:ascii="Segoe UI" w:hAnsi="Segoe UI" w:cs="Segoe UI"/>
          <w:color w:val="212121"/>
        </w:rPr>
        <w:t>Clozapine is the only truly effective treatment for refractory schizophrenia, but its use is constrained by the requirements for frequent monitoring of neutrophil counts. In the UK during the COVID-19 pandemic, the frequency of clozapine blood monitoring was reduced in some units from 4-weekly to 12-weekly. We aimed to investigate the outcomes of reduced monitoring in long-term clozapine patients.</w:t>
      </w:r>
    </w:p>
    <w:p w14:paraId="35B948E8" w14:textId="77777777" w:rsidR="00BD671A" w:rsidRDefault="00BD671A" w:rsidP="00BD671A">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 xml:space="preserve">This was an anonymous, retrospective, observational cohort study. No restrictions were applied regarding care setting (i.e., outpatients or inpatients). All patients who registered for reduced frequency </w:t>
      </w:r>
      <w:proofErr w:type="spellStart"/>
      <w:r>
        <w:rPr>
          <w:rFonts w:ascii="Segoe UI" w:hAnsi="Segoe UI" w:cs="Segoe UI"/>
          <w:color w:val="212121"/>
        </w:rPr>
        <w:t>haematological</w:t>
      </w:r>
      <w:proofErr w:type="spellEnd"/>
      <w:r>
        <w:rPr>
          <w:rFonts w:ascii="Segoe UI" w:hAnsi="Segoe UI" w:cs="Segoe UI"/>
          <w:color w:val="212121"/>
        </w:rPr>
        <w:t xml:space="preserve"> monitoring from 1 March 2020 to 1 November 2022 were included and followed up till 1 August 2024. The primary outcome was death resulting from clozapine-induced agranulocytosis (CIA). Secondary outcomes were the proportion of patients with mild to moderate neutropenia during the follow-up period and the proportion of patients who reverted to standard monitoring during the study period.</w:t>
      </w:r>
    </w:p>
    <w:p w14:paraId="202EA9A6" w14:textId="77777777" w:rsidR="00BD671A" w:rsidRDefault="00BD671A" w:rsidP="00BD671A">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Amongst 1025 patients, there were no cases of agranulocytosis over 3365.9 patient-years of 12-weekly blood monitoring (incident rate 0.0 per 100 person-years). There were 43 episodes of mild neutropenia (so-called amber results-1.5-2.0 × 10</w:t>
      </w:r>
      <w:r>
        <w:rPr>
          <w:rFonts w:ascii="Segoe UI" w:hAnsi="Segoe UI" w:cs="Segoe UI"/>
          <w:color w:val="212121"/>
          <w:sz w:val="18"/>
          <w:szCs w:val="18"/>
          <w:vertAlign w:val="superscript"/>
        </w:rPr>
        <w:t>9</w:t>
      </w:r>
      <w:r>
        <w:rPr>
          <w:rFonts w:ascii="Segoe UI" w:hAnsi="Segoe UI" w:cs="Segoe UI"/>
          <w:color w:val="212121"/>
        </w:rPr>
        <w:t>/L) or neutropenia (red results &lt; 1.5 × 10</w:t>
      </w:r>
      <w:r>
        <w:rPr>
          <w:rFonts w:ascii="Segoe UI" w:hAnsi="Segoe UI" w:cs="Segoe UI"/>
          <w:color w:val="212121"/>
          <w:sz w:val="18"/>
          <w:szCs w:val="18"/>
          <w:vertAlign w:val="superscript"/>
        </w:rPr>
        <w:t>9</w:t>
      </w:r>
      <w:r>
        <w:rPr>
          <w:rFonts w:ascii="Segoe UI" w:hAnsi="Segoe UI" w:cs="Segoe UI"/>
          <w:color w:val="212121"/>
        </w:rPr>
        <w:t xml:space="preserve">/L), an overall incident rate of 1.28 per 100 person-years. During follow-up, 41 patients (4%) reverted permanently to standard 4-weekly monitoring, and 157 patients (15%) temporarily interrupted reduced frequency monitoring but restarted 12-weekly monitoring before the end of the follow-up period. </w:t>
      </w:r>
      <w:r>
        <w:rPr>
          <w:rFonts w:ascii="Segoe UI" w:hAnsi="Segoe UI" w:cs="Segoe UI"/>
          <w:color w:val="212121"/>
        </w:rPr>
        <w:lastRenderedPageBreak/>
        <w:t>In total, 42 patients (4%) died during the observation period-no death was related to agranulocytosis.</w:t>
      </w:r>
    </w:p>
    <w:p w14:paraId="392F1614" w14:textId="77777777" w:rsidR="00BD671A" w:rsidRDefault="00BD671A" w:rsidP="00BD671A">
      <w:pPr>
        <w:pStyle w:val="NormalWeb"/>
        <w:shd w:val="clear" w:color="auto" w:fill="FFFFFF"/>
        <w:rPr>
          <w:rFonts w:ascii="Segoe UI" w:hAnsi="Segoe UI" w:cs="Segoe UI"/>
          <w:color w:val="212121"/>
        </w:rPr>
      </w:pPr>
      <w:r>
        <w:rPr>
          <w:rStyle w:val="Strong"/>
          <w:rFonts w:ascii="Segoe UI" w:hAnsi="Segoe UI" w:cs="Segoe UI"/>
          <w:color w:val="212121"/>
        </w:rPr>
        <w:t>Conclusion: </w:t>
      </w:r>
      <w:r>
        <w:rPr>
          <w:rFonts w:ascii="Segoe UI" w:hAnsi="Segoe UI" w:cs="Segoe UI"/>
          <w:color w:val="212121"/>
        </w:rPr>
        <w:t xml:space="preserve">Reducing the frequency of clozapine </w:t>
      </w:r>
      <w:proofErr w:type="spellStart"/>
      <w:r>
        <w:rPr>
          <w:rFonts w:ascii="Segoe UI" w:hAnsi="Segoe UI" w:cs="Segoe UI"/>
          <w:color w:val="212121"/>
        </w:rPr>
        <w:t>haematological</w:t>
      </w:r>
      <w:proofErr w:type="spellEnd"/>
      <w:r>
        <w:rPr>
          <w:rFonts w:ascii="Segoe UI" w:hAnsi="Segoe UI" w:cs="Segoe UI"/>
          <w:color w:val="212121"/>
        </w:rPr>
        <w:t xml:space="preserve"> monitoring to 12-weekly was safe in a group of long-term patients. No cases of agranulocytosis occurred and no deaths due to agranulocytosis were recorded. Most patients remained on extended-interval monitoring.</w:t>
      </w:r>
    </w:p>
    <w:p w14:paraId="5B64671B" w14:textId="77777777" w:rsidR="00415EC4" w:rsidRDefault="00415EC4" w:rsidP="00415EC4">
      <w:pPr>
        <w:pStyle w:val="Heading1"/>
        <w:shd w:val="clear" w:color="auto" w:fill="FFFFFF"/>
        <w:rPr>
          <w:rFonts w:ascii="Merriweather" w:hAnsi="Merriweather"/>
          <w:color w:val="212121"/>
        </w:rPr>
      </w:pPr>
      <w:bookmarkStart w:id="15" w:name="_Toc211325140"/>
      <w:r>
        <w:rPr>
          <w:rFonts w:ascii="Merriweather" w:hAnsi="Merriweather"/>
          <w:color w:val="212121"/>
        </w:rPr>
        <w:t>Use of Antidepressants Decreased After Initiation of ADHD Treatment in Adults-A Finnish Nationwide Register Study Describing Use of ADHD and Non-ADHD Medication in People With and Without ADHD</w:t>
      </w:r>
      <w:bookmarkEnd w:id="15"/>
    </w:p>
    <w:p w14:paraId="4223FA73" w14:textId="77777777" w:rsidR="00BD671A" w:rsidRDefault="00BD671A" w:rsidP="00B35071">
      <w:pPr>
        <w:spacing w:after="0" w:line="240" w:lineRule="auto"/>
        <w:textAlignment w:val="baseline"/>
        <w:rPr>
          <w:rFonts w:ascii="Calibri" w:eastAsia="Times New Roman" w:hAnsi="Calibri" w:cs="Calibri"/>
          <w:color w:val="000000"/>
        </w:rPr>
      </w:pPr>
    </w:p>
    <w:p w14:paraId="41CFE626" w14:textId="3A767696" w:rsidR="00415EC4" w:rsidRDefault="00415EC4"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Westman E, Prami T, Kallio A, Iso-</w:t>
      </w:r>
      <w:proofErr w:type="spellStart"/>
      <w:r>
        <w:rPr>
          <w:rFonts w:ascii="Segoe UI" w:hAnsi="Segoe UI" w:cs="Segoe UI"/>
          <w:color w:val="212121"/>
          <w:shd w:val="clear" w:color="auto" w:fill="FFFFFF"/>
        </w:rPr>
        <w:t>Mustajärvi</w:t>
      </w:r>
      <w:proofErr w:type="spellEnd"/>
      <w:r>
        <w:rPr>
          <w:rFonts w:ascii="Segoe UI" w:hAnsi="Segoe UI" w:cs="Segoe UI"/>
          <w:color w:val="212121"/>
          <w:shd w:val="clear" w:color="auto" w:fill="FFFFFF"/>
        </w:rPr>
        <w:t xml:space="preserve"> I, Jukka J, </w:t>
      </w:r>
      <w:proofErr w:type="spellStart"/>
      <w:r>
        <w:rPr>
          <w:rFonts w:ascii="Segoe UI" w:hAnsi="Segoe UI" w:cs="Segoe UI"/>
          <w:color w:val="212121"/>
          <w:shd w:val="clear" w:color="auto" w:fill="FFFFFF"/>
        </w:rPr>
        <w:t>Raittinen</w:t>
      </w:r>
      <w:proofErr w:type="spellEnd"/>
      <w:r>
        <w:rPr>
          <w:rFonts w:ascii="Segoe UI" w:hAnsi="Segoe UI" w:cs="Segoe UI"/>
          <w:color w:val="212121"/>
          <w:shd w:val="clear" w:color="auto" w:fill="FFFFFF"/>
        </w:rPr>
        <w:t xml:space="preserve"> P, Korhonen MJ, </w:t>
      </w:r>
      <w:proofErr w:type="spellStart"/>
      <w:r>
        <w:rPr>
          <w:rFonts w:ascii="Segoe UI" w:hAnsi="Segoe UI" w:cs="Segoe UI"/>
          <w:color w:val="212121"/>
          <w:shd w:val="clear" w:color="auto" w:fill="FFFFFF"/>
        </w:rPr>
        <w:t>Puustjärvi</w:t>
      </w:r>
      <w:proofErr w:type="spellEnd"/>
      <w:r>
        <w:rPr>
          <w:rFonts w:ascii="Segoe UI" w:hAnsi="Segoe UI" w:cs="Segoe UI"/>
          <w:color w:val="212121"/>
          <w:shd w:val="clear" w:color="auto" w:fill="FFFFFF"/>
        </w:rPr>
        <w:t xml:space="preserve"> A, </w:t>
      </w:r>
      <w:proofErr w:type="spellStart"/>
      <w:r>
        <w:rPr>
          <w:rFonts w:ascii="Segoe UI" w:hAnsi="Segoe UI" w:cs="Segoe UI"/>
          <w:color w:val="212121"/>
          <w:shd w:val="clear" w:color="auto" w:fill="FFFFFF"/>
        </w:rPr>
        <w:t>Leppämäki</w:t>
      </w:r>
      <w:proofErr w:type="spellEnd"/>
      <w:r>
        <w:rPr>
          <w:rFonts w:ascii="Segoe UI" w:hAnsi="Segoe UI" w:cs="Segoe UI"/>
          <w:color w:val="212121"/>
          <w:shd w:val="clear" w:color="auto" w:fill="FFFFFF"/>
        </w:rPr>
        <w:t xml:space="preserve"> S. Use of Antidepressants Decreased After Initiation of ADHD Treatment in Adults-A Finnish Nationwide Register Study Describing Use of ADHD and Non-ADHD Medication in People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and Without ADHD. Acta </w:t>
      </w:r>
      <w:proofErr w:type="spellStart"/>
      <w:r>
        <w:rPr>
          <w:rFonts w:ascii="Segoe UI" w:hAnsi="Segoe UI" w:cs="Segoe UI"/>
          <w:color w:val="212121"/>
          <w:shd w:val="clear" w:color="auto" w:fill="FFFFFF"/>
        </w:rPr>
        <w:t>Psychiatr</w:t>
      </w:r>
      <w:proofErr w:type="spellEnd"/>
      <w:r>
        <w:rPr>
          <w:rFonts w:ascii="Segoe UI" w:hAnsi="Segoe UI" w:cs="Segoe UI"/>
          <w:color w:val="212121"/>
          <w:shd w:val="clear" w:color="auto" w:fill="FFFFFF"/>
        </w:rPr>
        <w:t xml:space="preserve"> Scand. 2025 Sep;152(3):203-215.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10.1111/acps.70007.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Jun 27. </w:t>
      </w:r>
      <w:hyperlink r:id="rId22" w:history="1">
        <w:r w:rsidRPr="00415EC4">
          <w:rPr>
            <w:rStyle w:val="Hyperlink"/>
            <w:rFonts w:ascii="Segoe UI" w:hAnsi="Segoe UI" w:cs="Segoe UI"/>
            <w:shd w:val="clear" w:color="auto" w:fill="FFFFFF"/>
          </w:rPr>
          <w:t>PMID: 40844122</w:t>
        </w:r>
      </w:hyperlink>
      <w:r>
        <w:rPr>
          <w:rFonts w:ascii="Segoe UI" w:hAnsi="Segoe UI" w:cs="Segoe UI"/>
          <w:color w:val="212121"/>
          <w:shd w:val="clear" w:color="auto" w:fill="FFFFFF"/>
        </w:rPr>
        <w:t>; PMCID: PMC12318640.</w:t>
      </w:r>
    </w:p>
    <w:p w14:paraId="1B25FCF3" w14:textId="77777777" w:rsidR="00415EC4" w:rsidRDefault="00415EC4" w:rsidP="00B35071">
      <w:pPr>
        <w:spacing w:after="0" w:line="240" w:lineRule="auto"/>
        <w:textAlignment w:val="baseline"/>
        <w:rPr>
          <w:rFonts w:ascii="Segoe UI" w:hAnsi="Segoe UI" w:cs="Segoe UI"/>
          <w:color w:val="212121"/>
          <w:shd w:val="clear" w:color="auto" w:fill="FFFFFF"/>
        </w:rPr>
      </w:pPr>
    </w:p>
    <w:p w14:paraId="7ACEB03D" w14:textId="77777777" w:rsidR="00415EC4" w:rsidRDefault="00415EC4" w:rsidP="00415EC4">
      <w:pPr>
        <w:pStyle w:val="NormalWeb"/>
        <w:shd w:val="clear" w:color="auto" w:fill="FFFFFF"/>
        <w:rPr>
          <w:rFonts w:ascii="Segoe UI" w:hAnsi="Segoe UI" w:cs="Segoe UI"/>
          <w:color w:val="212121"/>
        </w:rPr>
      </w:pPr>
      <w:r>
        <w:rPr>
          <w:rStyle w:val="Strong"/>
          <w:rFonts w:ascii="Segoe UI" w:hAnsi="Segoe UI" w:cs="Segoe UI"/>
          <w:color w:val="212121"/>
        </w:rPr>
        <w:t>Introduction: </w:t>
      </w:r>
      <w:r>
        <w:rPr>
          <w:rFonts w:ascii="Segoe UI" w:hAnsi="Segoe UI" w:cs="Segoe UI"/>
          <w:color w:val="212121"/>
        </w:rPr>
        <w:t>ADHD is often associated with comorbid psychiatric conditions. Differential diagnosis between other conditions and ADHD is not always clear, and patients are sometimes initially treated for another disorder instead. ADHD diagnosis and appropriate ADHD treatment potentially reduce the need for medication of the other disorder. Reaching high adherence to and persistence with ADHD medication is challenging. This nationwide cohort study aimed to describe not only ADHD medication use but also the use of other drugs in ADHD patients compared to controls.</w:t>
      </w:r>
    </w:p>
    <w:p w14:paraId="664C0467" w14:textId="77777777" w:rsidR="00415EC4" w:rsidRDefault="00415EC4" w:rsidP="00415EC4">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Nationwide care and prescription registers were used to identify incident ADHD patients of any age between 2015 and 2020. Four controls were matched to each ADHD patient by age, gender, and residence. Analyses included data from 1.1.2010 to 31.12.2021.</w:t>
      </w:r>
    </w:p>
    <w:p w14:paraId="0D51C102" w14:textId="77777777" w:rsidR="00415EC4" w:rsidRDefault="00415EC4" w:rsidP="00415EC4">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Study cohort included 66,146 ADHD patients and 256,270 controls, with a total follow-up of 1,123,412 years. Sustained and extended-release methylphenidate were the two </w:t>
      </w:r>
      <w:proofErr w:type="gramStart"/>
      <w:r>
        <w:rPr>
          <w:rFonts w:ascii="Segoe UI" w:hAnsi="Segoe UI" w:cs="Segoe UI"/>
          <w:color w:val="212121"/>
        </w:rPr>
        <w:t>most commonly used</w:t>
      </w:r>
      <w:proofErr w:type="gramEnd"/>
      <w:r>
        <w:rPr>
          <w:rFonts w:ascii="Segoe UI" w:hAnsi="Segoe UI" w:cs="Segoe UI"/>
          <w:color w:val="212121"/>
        </w:rPr>
        <w:t xml:space="preserve"> first-line ADHD drugs across all age groups. Simultaneous use of different ADHD drugs was rare. Primary adherence was very high, with 95% of the patients purchasing their prescribed medication in general and 80% doing so within 10 days. Persistence with medication was the highest among the youngest patients. A decrease in purchases was observed during the summer holidays in school-age children and adolescents. In adults, antidepressant use often preceded ADHD diagnosis and </w:t>
      </w:r>
      <w:r>
        <w:rPr>
          <w:rFonts w:ascii="Segoe UI" w:hAnsi="Segoe UI" w:cs="Segoe UI"/>
          <w:color w:val="212121"/>
        </w:rPr>
        <w:lastRenderedPageBreak/>
        <w:t>decreased after ADHD treatment initiation, unlike in controls at the same time. In young children, antibiotics and anti-inflammatory drug use was higher in ADHD patients than in controls, especially before ADHD identification.</w:t>
      </w:r>
    </w:p>
    <w:p w14:paraId="1466182F" w14:textId="77777777" w:rsidR="00415EC4" w:rsidRDefault="00415EC4" w:rsidP="00415EC4">
      <w:pPr>
        <w:pStyle w:val="NormalWeb"/>
        <w:shd w:val="clear" w:color="auto" w:fill="FFFFFF"/>
        <w:rPr>
          <w:rFonts w:ascii="Segoe UI" w:hAnsi="Segoe UI" w:cs="Segoe UI"/>
          <w:color w:val="212121"/>
        </w:rPr>
      </w:pPr>
      <w:r>
        <w:rPr>
          <w:rStyle w:val="Strong"/>
          <w:rFonts w:ascii="Segoe UI" w:hAnsi="Segoe UI" w:cs="Segoe UI"/>
          <w:color w:val="212121"/>
        </w:rPr>
        <w:t>Conclusion: </w:t>
      </w:r>
      <w:r>
        <w:rPr>
          <w:rFonts w:ascii="Segoe UI" w:hAnsi="Segoe UI" w:cs="Segoe UI"/>
          <w:color w:val="212121"/>
        </w:rPr>
        <w:t>As far as we know, this is the first study to describe changes in the use of non-ADHD medications in relation to ADHD identification. In adults, antidepressant use decreased after ADHD treatment initiation, and in children, antibiotic and anti-inflammatory use showed more prominent decrease compared to controls of the same age. The data indicated high primary adherence to ADHD medication, and the youngest children remained on continuous ADHD medication the longest. The effect of summer holidays was visible in the purchase data.</w:t>
      </w:r>
    </w:p>
    <w:p w14:paraId="4B19FF03" w14:textId="77777777" w:rsidR="008B6741" w:rsidRDefault="008B6741" w:rsidP="008B6741">
      <w:pPr>
        <w:pStyle w:val="Heading1"/>
        <w:shd w:val="clear" w:color="auto" w:fill="FFFFFF"/>
        <w:rPr>
          <w:rFonts w:ascii="Merriweather" w:hAnsi="Merriweather"/>
          <w:color w:val="212121"/>
        </w:rPr>
      </w:pPr>
      <w:bookmarkStart w:id="16" w:name="_Toc211325141"/>
      <w:r>
        <w:rPr>
          <w:rFonts w:ascii="Merriweather" w:hAnsi="Merriweather"/>
          <w:color w:val="212121"/>
        </w:rPr>
        <w:t>Lamotrigine treatment of mental health problems during the perinatal period</w:t>
      </w:r>
      <w:bookmarkEnd w:id="16"/>
    </w:p>
    <w:p w14:paraId="54D151BA" w14:textId="77777777" w:rsidR="008B6741" w:rsidRDefault="008B6741" w:rsidP="00B35071">
      <w:pPr>
        <w:spacing w:after="0" w:line="240" w:lineRule="auto"/>
        <w:textAlignment w:val="baseline"/>
        <w:rPr>
          <w:rFonts w:ascii="Calibri" w:eastAsia="Times New Roman" w:hAnsi="Calibri" w:cs="Calibri"/>
          <w:color w:val="000000"/>
        </w:rPr>
      </w:pPr>
    </w:p>
    <w:p w14:paraId="5B7ED564" w14:textId="4CCE77E7" w:rsidR="008B6741" w:rsidRDefault="008B6741"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Austin HA, Baldwin DS. Lamotrigine treatment of mental health problems during the perinatal period. Br J Psychiatry. 2025 Sep;227(3):585-587.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10.1192/bjp.2025.10307.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Jul 2. </w:t>
      </w:r>
      <w:r w:rsidRPr="00395EBE">
        <w:rPr>
          <w:rFonts w:ascii="Segoe UI" w:hAnsi="Segoe UI" w:cs="Segoe UI"/>
          <w:shd w:val="clear" w:color="auto" w:fill="FFFFFF"/>
        </w:rPr>
        <w:t>PMID: 40598713.</w:t>
      </w:r>
    </w:p>
    <w:p w14:paraId="7BB267D0" w14:textId="77777777" w:rsidR="00644148" w:rsidRDefault="00644148" w:rsidP="00B35071">
      <w:pPr>
        <w:spacing w:after="0" w:line="240" w:lineRule="auto"/>
        <w:textAlignment w:val="baseline"/>
        <w:rPr>
          <w:rFonts w:ascii="Segoe UI" w:hAnsi="Segoe UI" w:cs="Segoe UI"/>
          <w:color w:val="212121"/>
          <w:shd w:val="clear" w:color="auto" w:fill="FFFFFF"/>
        </w:rPr>
      </w:pPr>
    </w:p>
    <w:p w14:paraId="3140F8A4" w14:textId="77777777" w:rsidR="00644148" w:rsidRDefault="00644148" w:rsidP="00B35071">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Lamotrigine is beneficial in bipolar disorder and is often prescribed to patients during their period of reproductive potential. We </w:t>
      </w:r>
      <w:proofErr w:type="spellStart"/>
      <w:r>
        <w:rPr>
          <w:rFonts w:ascii="Segoe UI" w:hAnsi="Segoe UI" w:cs="Segoe UI"/>
          <w:color w:val="212121"/>
          <w:shd w:val="clear" w:color="auto" w:fill="FFFFFF"/>
        </w:rPr>
        <w:t>summarise</w:t>
      </w:r>
      <w:proofErr w:type="spellEnd"/>
      <w:r>
        <w:rPr>
          <w:rFonts w:ascii="Segoe UI" w:hAnsi="Segoe UI" w:cs="Segoe UI"/>
          <w:color w:val="212121"/>
          <w:shd w:val="clear" w:color="auto" w:fill="FFFFFF"/>
        </w:rPr>
        <w:t xml:space="preserve"> aspects of the pharmacology of lamotrigine, highlight its uses in psychiatric practice, drawing attention to recent findings relating to potential hazards arising from lamotrigine exposure in utero, and make some suggestions for clinical management.</w:t>
      </w:r>
    </w:p>
    <w:p w14:paraId="2C919E80" w14:textId="77777777" w:rsidR="00644148" w:rsidRDefault="00644148" w:rsidP="00B35071">
      <w:pPr>
        <w:spacing w:after="0" w:line="240" w:lineRule="auto"/>
        <w:textAlignment w:val="baseline"/>
        <w:rPr>
          <w:rFonts w:ascii="Segoe UI" w:hAnsi="Segoe UI" w:cs="Segoe UI"/>
          <w:color w:val="212121"/>
          <w:shd w:val="clear" w:color="auto" w:fill="FFFFFF"/>
        </w:rPr>
      </w:pPr>
    </w:p>
    <w:p w14:paraId="5D19485F" w14:textId="77777777" w:rsidR="00644148" w:rsidRDefault="00644148" w:rsidP="00644148">
      <w:pPr>
        <w:pStyle w:val="Heading1"/>
        <w:shd w:val="clear" w:color="auto" w:fill="FFFFFF"/>
        <w:rPr>
          <w:rFonts w:ascii="Merriweather" w:hAnsi="Merriweather"/>
          <w:color w:val="212121"/>
        </w:rPr>
      </w:pPr>
      <w:bookmarkStart w:id="17" w:name="_Toc211325142"/>
      <w:r>
        <w:rPr>
          <w:rFonts w:ascii="Merriweather" w:hAnsi="Merriweather"/>
          <w:color w:val="212121"/>
        </w:rPr>
        <w:t>Early Pubertal Timing, Suicidality, and Self-Injurious Behaviors in Preadolescents: Evidence for Concurrent and Emergent Risk Prediction</w:t>
      </w:r>
      <w:bookmarkEnd w:id="17"/>
    </w:p>
    <w:p w14:paraId="3A26FB12" w14:textId="77777777" w:rsidR="00644148" w:rsidRDefault="00644148" w:rsidP="00B35071">
      <w:pPr>
        <w:spacing w:after="0" w:line="240" w:lineRule="auto"/>
        <w:textAlignment w:val="baseline"/>
        <w:rPr>
          <w:rFonts w:ascii="Calibri" w:eastAsia="Times New Roman" w:hAnsi="Calibri" w:cs="Calibri"/>
          <w:color w:val="000000"/>
        </w:rPr>
      </w:pPr>
    </w:p>
    <w:p w14:paraId="5A3D66EF" w14:textId="607FAF52" w:rsidR="00415EC4" w:rsidRDefault="00644148" w:rsidP="00B35071">
      <w:pPr>
        <w:spacing w:after="0" w:line="240" w:lineRule="auto"/>
        <w:textAlignment w:val="baseline"/>
        <w:rPr>
          <w:rFonts w:ascii="Calibri" w:eastAsia="Times New Roman" w:hAnsi="Calibri" w:cs="Calibri"/>
          <w:color w:val="000000"/>
        </w:rPr>
      </w:pPr>
      <w:r>
        <w:rPr>
          <w:rFonts w:ascii="Segoe UI" w:hAnsi="Segoe UI" w:cs="Segoe UI"/>
          <w:color w:val="212121"/>
          <w:shd w:val="clear" w:color="auto" w:fill="FFFFFF"/>
        </w:rPr>
        <w:t xml:space="preserve">Luking KR, </w:t>
      </w:r>
      <w:proofErr w:type="spellStart"/>
      <w:r>
        <w:rPr>
          <w:rFonts w:ascii="Segoe UI" w:hAnsi="Segoe UI" w:cs="Segoe UI"/>
          <w:color w:val="212121"/>
          <w:shd w:val="clear" w:color="auto" w:fill="FFFFFF"/>
        </w:rPr>
        <w:t>Hennefield</w:t>
      </w:r>
      <w:proofErr w:type="spellEnd"/>
      <w:r>
        <w:rPr>
          <w:rFonts w:ascii="Segoe UI" w:hAnsi="Segoe UI" w:cs="Segoe UI"/>
          <w:color w:val="212121"/>
          <w:shd w:val="clear" w:color="auto" w:fill="FFFFFF"/>
        </w:rPr>
        <w:t xml:space="preserve"> L, </w:t>
      </w:r>
      <w:proofErr w:type="spellStart"/>
      <w:r>
        <w:rPr>
          <w:rFonts w:ascii="Segoe UI" w:hAnsi="Segoe UI" w:cs="Segoe UI"/>
          <w:color w:val="212121"/>
          <w:shd w:val="clear" w:color="auto" w:fill="FFFFFF"/>
        </w:rPr>
        <w:t>Ortin</w:t>
      </w:r>
      <w:proofErr w:type="spellEnd"/>
      <w:r>
        <w:rPr>
          <w:rFonts w:ascii="Segoe UI" w:hAnsi="Segoe UI" w:cs="Segoe UI"/>
          <w:color w:val="212121"/>
          <w:shd w:val="clear" w:color="auto" w:fill="FFFFFF"/>
        </w:rPr>
        <w:t xml:space="preserve">-Peralta A, Wright AJ, Whalen DJ. Early Pubertal Timing, Suicidality, and Self-Injurious Behaviors in Preadolescents: Evidence for Concurrent and Emergent Risk Prediction. J Am </w:t>
      </w:r>
      <w:proofErr w:type="spellStart"/>
      <w:r>
        <w:rPr>
          <w:rFonts w:ascii="Segoe UI" w:hAnsi="Segoe UI" w:cs="Segoe UI"/>
          <w:color w:val="212121"/>
          <w:shd w:val="clear" w:color="auto" w:fill="FFFFFF"/>
        </w:rPr>
        <w:t>Acad</w:t>
      </w:r>
      <w:proofErr w:type="spellEnd"/>
      <w:r>
        <w:rPr>
          <w:rFonts w:ascii="Segoe UI" w:hAnsi="Segoe UI" w:cs="Segoe UI"/>
          <w:color w:val="212121"/>
          <w:shd w:val="clear" w:color="auto" w:fill="FFFFFF"/>
        </w:rPr>
        <w:t xml:space="preserve"> Child </w:t>
      </w:r>
      <w:proofErr w:type="spellStart"/>
      <w:r>
        <w:rPr>
          <w:rFonts w:ascii="Segoe UI" w:hAnsi="Segoe UI" w:cs="Segoe UI"/>
          <w:color w:val="212121"/>
          <w:shd w:val="clear" w:color="auto" w:fill="FFFFFF"/>
        </w:rPr>
        <w:t>Adolesc</w:t>
      </w:r>
      <w:proofErr w:type="spellEnd"/>
      <w:r>
        <w:rPr>
          <w:rFonts w:ascii="Segoe UI" w:hAnsi="Segoe UI" w:cs="Segoe UI"/>
          <w:color w:val="212121"/>
          <w:shd w:val="clear" w:color="auto" w:fill="FFFFFF"/>
        </w:rPr>
        <w:t xml:space="preserve"> Psychiatry. 2025 Sep;64(9):1047-1055.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10.1016/j.jaac.2024.10.016.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Jan 9. </w:t>
      </w:r>
      <w:r w:rsidRPr="00395EBE">
        <w:rPr>
          <w:rFonts w:ascii="Segoe UI" w:hAnsi="Segoe UI" w:cs="Segoe UI"/>
          <w:shd w:val="clear" w:color="auto" w:fill="FFFFFF"/>
        </w:rPr>
        <w:t>PMID: 39798665</w:t>
      </w:r>
      <w:r>
        <w:rPr>
          <w:rFonts w:ascii="Segoe UI" w:hAnsi="Segoe UI" w:cs="Segoe UI"/>
          <w:color w:val="212121"/>
          <w:shd w:val="clear" w:color="auto" w:fill="FFFFFF"/>
        </w:rPr>
        <w:t>; PMCID: PMC12238291.</w:t>
      </w:r>
      <w:r w:rsidR="00415EC4" w:rsidRPr="00415EC4">
        <w:rPr>
          <w:rFonts w:ascii="Calibri" w:eastAsia="Times New Roman" w:hAnsi="Calibri" w:cs="Calibri"/>
          <w:color w:val="000000"/>
        </w:rPr>
        <w:br/>
      </w:r>
    </w:p>
    <w:p w14:paraId="0A8EFAB7" w14:textId="77777777" w:rsidR="00644148" w:rsidRDefault="00644148" w:rsidP="0064414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The aim of this study was to determine whether advanced puberty at age 9 and 10 years, relative to that in same-aged peers, predicts current and/or new-onset self-injurious thoughts and behaviors (SITBs). New predictors of SITBs in preadolescence are urgently needed to address this escalating public health crisis of youth self-harm and suicidality.</w:t>
      </w:r>
    </w:p>
    <w:p w14:paraId="2A34E66B" w14:textId="77777777" w:rsidR="00644148" w:rsidRDefault="00644148" w:rsidP="00644148">
      <w:pPr>
        <w:pStyle w:val="NormalWeb"/>
        <w:shd w:val="clear" w:color="auto" w:fill="FFFFFF"/>
        <w:rPr>
          <w:rFonts w:ascii="Segoe UI" w:hAnsi="Segoe UI" w:cs="Segoe UI"/>
          <w:color w:val="212121"/>
        </w:rPr>
      </w:pPr>
      <w:r>
        <w:rPr>
          <w:rStyle w:val="Strong"/>
          <w:rFonts w:ascii="Segoe UI" w:hAnsi="Segoe UI" w:cs="Segoe UI"/>
          <w:color w:val="212121"/>
        </w:rPr>
        <w:lastRenderedPageBreak/>
        <w:t>Method: </w:t>
      </w:r>
      <w:r>
        <w:rPr>
          <w:rFonts w:ascii="Segoe UI" w:hAnsi="Segoe UI" w:cs="Segoe UI"/>
          <w:color w:val="212121"/>
        </w:rPr>
        <w:t xml:space="preserve">Data from the baseline, 1-year, and 2-year waves of the Adolescent Brain and Cognitive Development Study were used. Bayesian mixed-effects models were estimated for test and replication split halves, and tested whether relatively advanced youth-reported pubertal development at 9 or 10 years predicted SITBs (suicidal ideation, suicide attempts, and </w:t>
      </w:r>
      <w:proofErr w:type="spellStart"/>
      <w:r>
        <w:rPr>
          <w:rFonts w:ascii="Segoe UI" w:hAnsi="Segoe UI" w:cs="Segoe UI"/>
          <w:color w:val="212121"/>
        </w:rPr>
        <w:t>nonsuicidal</w:t>
      </w:r>
      <w:proofErr w:type="spellEnd"/>
      <w:r>
        <w:rPr>
          <w:rFonts w:ascii="Segoe UI" w:hAnsi="Segoe UI" w:cs="Segoe UI"/>
          <w:color w:val="212121"/>
        </w:rPr>
        <w:t xml:space="preserve"> self-injury) as reported by preadolescents (each wave) and their caregiver (baseline, 2-year follow-up) in a computerized version of the Kiddie Schedule for Affective Disorders and Schizophrenia (KSADS). Preadolescents with baseline self-reported puberty, KSADS (N = 8,708; 44.6% female; 60.8% White non-Hispanic), and demographic information were included.</w:t>
      </w:r>
    </w:p>
    <w:p w14:paraId="4A786997" w14:textId="77777777" w:rsidR="00644148" w:rsidRDefault="00644148" w:rsidP="0064414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Baseline preadolescent-reported puberty predicted the presence of any SITB before or at baseline (odds ratio = 1.50, 95% credible interval = 1.23-1.85) and the new-onset SITBs between baseline and 2-year follow-up in preadolescents SITB-naive at baseline (odds ratio = 2.26, 95% credible interval = 1.66-3.21).</w:t>
      </w:r>
    </w:p>
    <w:p w14:paraId="0877B414" w14:textId="77777777" w:rsidR="00644148" w:rsidRDefault="00644148" w:rsidP="00644148">
      <w:pPr>
        <w:pStyle w:val="NormalWeb"/>
        <w:shd w:val="clear" w:color="auto" w:fill="FFFFFF"/>
        <w:rPr>
          <w:rFonts w:ascii="Segoe UI" w:hAnsi="Segoe UI" w:cs="Segoe UI"/>
          <w:color w:val="212121"/>
        </w:rPr>
      </w:pPr>
      <w:r>
        <w:rPr>
          <w:rStyle w:val="Strong"/>
          <w:rFonts w:ascii="Segoe UI" w:hAnsi="Segoe UI" w:cs="Segoe UI"/>
          <w:color w:val="212121"/>
        </w:rPr>
        <w:t>Conclusion: </w:t>
      </w:r>
      <w:r>
        <w:rPr>
          <w:rFonts w:ascii="Segoe UI" w:hAnsi="Segoe UI" w:cs="Segoe UI"/>
          <w:color w:val="212121"/>
        </w:rPr>
        <w:t>Preadolescents reporting relatively advanced puberty were more likely to have experienced SITBs and, if SITB naive, were more likely to experience the onset of SITBs across the following 2 years. Findings were not explained by child psychopathology or other familial and psychosocial factors known to predict SITBs. Screening preadolescents for advanced puberty at ages 9 and 10 years and applying targeted suicide screening for those youth showing advanced puberty should be considered in primary care and mental health settings.</w:t>
      </w:r>
    </w:p>
    <w:p w14:paraId="73441E28" w14:textId="77777777" w:rsidR="00644148" w:rsidRDefault="00644148" w:rsidP="00644148">
      <w:pPr>
        <w:pStyle w:val="NormalWeb"/>
        <w:shd w:val="clear" w:color="auto" w:fill="FFFFFF"/>
        <w:rPr>
          <w:rFonts w:ascii="Segoe UI" w:hAnsi="Segoe UI" w:cs="Segoe UI"/>
          <w:color w:val="212121"/>
        </w:rPr>
      </w:pPr>
      <w:r>
        <w:rPr>
          <w:rStyle w:val="Strong"/>
          <w:rFonts w:ascii="Segoe UI" w:hAnsi="Segoe UI" w:cs="Segoe UI"/>
          <w:color w:val="212121"/>
        </w:rPr>
        <w:t>Plain language summary: </w:t>
      </w:r>
      <w:r>
        <w:rPr>
          <w:rFonts w:ascii="Segoe UI" w:hAnsi="Segoe UI" w:cs="Segoe UI"/>
          <w:color w:val="212121"/>
        </w:rPr>
        <w:t>Analyzing data from the Adolescent Brain and Cognitive Development (ABCD) study, the authors found that adolescents reporting advanced puberty at age 9 to 10 were more likely to have experienced self-injurious thoughts and behaviors (SITB) and, if SITB naive, were more likely to experience the onset of SITBs over the following 2 years. These findings were not explained by other child mental health problems or familial or social factors known to predict these behaviors. The authors recommend screening preadolescents for advanced puberty and applying targeted suicide screening for those youth showing advanced puberty in primary care and mental health settings.</w:t>
      </w:r>
    </w:p>
    <w:p w14:paraId="1DC4ED77" w14:textId="77777777" w:rsidR="00395EBE" w:rsidRDefault="00395EBE" w:rsidP="00395EBE">
      <w:pPr>
        <w:pStyle w:val="Heading1"/>
        <w:shd w:val="clear" w:color="auto" w:fill="FFFFFF"/>
        <w:rPr>
          <w:rFonts w:ascii="Merriweather" w:hAnsi="Merriweather"/>
          <w:color w:val="212121"/>
        </w:rPr>
      </w:pPr>
      <w:bookmarkStart w:id="18" w:name="_Toc211325143"/>
      <w:r>
        <w:rPr>
          <w:rFonts w:ascii="Merriweather" w:hAnsi="Merriweather"/>
          <w:color w:val="212121"/>
        </w:rPr>
        <w:t>Holistic prevention and management of physical health side-effects of psychotropic medication: second report of the Lancet Psychiatry Physical Health Commission</w:t>
      </w:r>
      <w:bookmarkEnd w:id="18"/>
    </w:p>
    <w:p w14:paraId="26D6A588" w14:textId="77777777" w:rsidR="00395EBE" w:rsidRDefault="00395EBE" w:rsidP="00395EBE">
      <w:pPr>
        <w:spacing w:after="0" w:line="240" w:lineRule="auto"/>
        <w:textAlignment w:val="baseline"/>
        <w:rPr>
          <w:rFonts w:ascii="Calibri" w:eastAsia="Times New Roman" w:hAnsi="Calibri" w:cs="Calibri"/>
          <w:color w:val="000000"/>
        </w:rPr>
      </w:pPr>
    </w:p>
    <w:p w14:paraId="139907D5" w14:textId="0C08B0DF" w:rsidR="00395EBE" w:rsidRPr="00395EBE" w:rsidRDefault="00395EBE" w:rsidP="00395EBE">
      <w:pPr>
        <w:spacing w:after="0" w:line="240" w:lineRule="auto"/>
        <w:textAlignment w:val="baseline"/>
        <w:rPr>
          <w:rFonts w:ascii="Calibri" w:eastAsia="Times New Roman" w:hAnsi="Calibri" w:cs="Calibri"/>
          <w:color w:val="212121"/>
        </w:rPr>
      </w:pPr>
      <w:r>
        <w:rPr>
          <w:rFonts w:ascii="Segoe UI" w:hAnsi="Segoe UI" w:cs="Segoe UI"/>
          <w:color w:val="212121"/>
          <w:shd w:val="clear" w:color="auto" w:fill="FFFFFF"/>
        </w:rPr>
        <w:t xml:space="preserve">Halstead S, Yap CX, Warren N, Agarwal SM, Brand BA, Chan SKW, Cipriani A, Correll CU, Crossley N, D'Ambrosio E, Emsley R, Firth J, Gaughran F, Gee S, Hahn M, Hayes JF, Heald A, Howes OD, Kane JM, Kapi M, Leucht S, Meyer N, O'Donoghue B, Okeke E, Perry BI, </w:t>
      </w:r>
      <w:proofErr w:type="spellStart"/>
      <w:r>
        <w:rPr>
          <w:rFonts w:ascii="Segoe UI" w:hAnsi="Segoe UI" w:cs="Segoe UI"/>
          <w:color w:val="212121"/>
          <w:shd w:val="clear" w:color="auto" w:fill="FFFFFF"/>
        </w:rPr>
        <w:t>Solmi</w:t>
      </w:r>
      <w:proofErr w:type="spellEnd"/>
      <w:r>
        <w:rPr>
          <w:rFonts w:ascii="Segoe UI" w:hAnsi="Segoe UI" w:cs="Segoe UI"/>
          <w:color w:val="212121"/>
          <w:shd w:val="clear" w:color="auto" w:fill="FFFFFF"/>
        </w:rPr>
        <w:t xml:space="preserve"> M, Sommer IE, Srivastava V, Taipale H, Taylor D, Tiihonen J, Young AH; Lancet Psychiatry Physical Health </w:t>
      </w:r>
      <w:r>
        <w:rPr>
          <w:rFonts w:ascii="Segoe UI" w:hAnsi="Segoe UI" w:cs="Segoe UI"/>
          <w:color w:val="212121"/>
          <w:shd w:val="clear" w:color="auto" w:fill="FFFFFF"/>
        </w:rPr>
        <w:lastRenderedPageBreak/>
        <w:t xml:space="preserve">Commission Consortium; McCutcheon RA, Siskind D, Pillinger T. Holistic prevention and management of physical health side-effects of psychotropic medication: second report of the Lancet Psychiatry Physical Health Commission. Lancet Psychiatry. 2025 Sep;12(9):673-699. </w:t>
      </w:r>
      <w:proofErr w:type="spellStart"/>
      <w:r w:rsidRPr="00395EBE">
        <w:rPr>
          <w:rFonts w:ascii="Segoe UI" w:hAnsi="Segoe UI" w:cs="Segoe UI"/>
          <w:color w:val="212121"/>
          <w:shd w:val="clear" w:color="auto" w:fill="FFFFFF"/>
        </w:rPr>
        <w:t>doi</w:t>
      </w:r>
      <w:proofErr w:type="spellEnd"/>
      <w:r w:rsidRPr="00395EBE">
        <w:rPr>
          <w:rFonts w:ascii="Segoe UI" w:hAnsi="Segoe UI" w:cs="Segoe UI"/>
          <w:color w:val="212121"/>
          <w:shd w:val="clear" w:color="auto" w:fill="FFFFFF"/>
        </w:rPr>
        <w:t>: 10.1016/S2215-0366(25)00162-2</w:t>
      </w:r>
      <w:r>
        <w:rPr>
          <w:rFonts w:ascii="Segoe UI" w:hAnsi="Segoe UI" w:cs="Segoe UI"/>
          <w:color w:val="212121"/>
          <w:shd w:val="clear" w:color="auto" w:fill="FFFFFF"/>
        </w:rPr>
        <w:t xml:space="preserve">. </w:t>
      </w:r>
      <w:r w:rsidRPr="00395EBE">
        <w:rPr>
          <w:rFonts w:ascii="Segoe UI" w:hAnsi="Segoe UI" w:cs="Segoe UI"/>
          <w:color w:val="212121"/>
          <w:shd w:val="clear" w:color="auto" w:fill="FFFFFF"/>
        </w:rPr>
        <w:t>PMID: 40812961.</w:t>
      </w:r>
    </w:p>
    <w:p w14:paraId="70CE3D69" w14:textId="36F1E8B1" w:rsidR="00395EBE" w:rsidRDefault="00395EBE" w:rsidP="00395EBE">
      <w:pPr>
        <w:spacing w:after="0" w:line="240" w:lineRule="auto"/>
        <w:textAlignment w:val="baseline"/>
        <w:rPr>
          <w:rFonts w:ascii="Segoe UI" w:hAnsi="Segoe UI" w:cs="Segoe UI"/>
          <w:color w:val="212121"/>
          <w:shd w:val="clear" w:color="auto" w:fill="FFFFFF"/>
        </w:rPr>
      </w:pPr>
    </w:p>
    <w:p w14:paraId="49109F88" w14:textId="6A17DCEA" w:rsidR="00395EBE" w:rsidRPr="00395EBE" w:rsidRDefault="00395EBE" w:rsidP="00395EBE">
      <w:pPr>
        <w:spacing w:after="0" w:line="240" w:lineRule="auto"/>
        <w:textAlignment w:val="baseline"/>
        <w:rPr>
          <w:rFonts w:ascii="Segoe UI" w:hAnsi="Segoe UI" w:cs="Segoe UI"/>
          <w:i/>
          <w:iCs/>
          <w:color w:val="5B616B"/>
          <w:shd w:val="clear" w:color="auto" w:fill="FFFFFF"/>
        </w:rPr>
      </w:pPr>
      <w:r>
        <w:rPr>
          <w:rStyle w:val="Emphasis"/>
          <w:rFonts w:ascii="Segoe UI" w:hAnsi="Segoe UI" w:cs="Segoe UI"/>
          <w:color w:val="5B616B"/>
          <w:shd w:val="clear" w:color="auto" w:fill="FFFFFF"/>
        </w:rPr>
        <w:t>No abstract available</w:t>
      </w:r>
    </w:p>
    <w:p w14:paraId="24403769" w14:textId="77777777" w:rsidR="00644148" w:rsidRPr="00F95CFA" w:rsidRDefault="00644148" w:rsidP="00B35071">
      <w:pPr>
        <w:spacing w:after="0" w:line="240" w:lineRule="auto"/>
        <w:textAlignment w:val="baseline"/>
        <w:rPr>
          <w:rFonts w:ascii="Calibri" w:eastAsia="Times New Roman" w:hAnsi="Calibri" w:cs="Calibri"/>
          <w:color w:val="000000"/>
        </w:rPr>
      </w:pPr>
    </w:p>
    <w:p w14:paraId="074EA4F5" w14:textId="77777777" w:rsidR="00925182" w:rsidRDefault="00925182" w:rsidP="00925182">
      <w:pPr>
        <w:pStyle w:val="Heading2"/>
        <w:rPr>
          <w:rFonts w:asciiTheme="minorHAnsi" w:hAnsiTheme="minorHAnsi" w:cstheme="minorHAnsi"/>
          <w:sz w:val="22"/>
          <w:szCs w:val="22"/>
        </w:rPr>
      </w:pPr>
      <w:bookmarkStart w:id="19" w:name="_Toc211325144"/>
      <w:r w:rsidRPr="00B35071">
        <w:rPr>
          <w:rFonts w:asciiTheme="minorHAnsi" w:hAnsiTheme="minorHAnsi" w:cstheme="minorHAnsi"/>
          <w:sz w:val="22"/>
          <w:szCs w:val="22"/>
        </w:rPr>
        <w:t>Interesting Viewpoints</w:t>
      </w:r>
      <w:bookmarkEnd w:id="19"/>
    </w:p>
    <w:p w14:paraId="1FEF1C55" w14:textId="77777777" w:rsidR="006F702B" w:rsidRDefault="006F702B" w:rsidP="006F702B"/>
    <w:p w14:paraId="015312ED" w14:textId="77777777" w:rsidR="006F702B" w:rsidRDefault="006F702B" w:rsidP="006F702B">
      <w:pPr>
        <w:pStyle w:val="Heading1"/>
        <w:shd w:val="clear" w:color="auto" w:fill="FFFFFF"/>
        <w:rPr>
          <w:rFonts w:ascii="Merriweather" w:hAnsi="Merriweather"/>
          <w:color w:val="212121"/>
        </w:rPr>
      </w:pPr>
      <w:bookmarkStart w:id="20" w:name="_Toc211325145"/>
      <w:r>
        <w:rPr>
          <w:rFonts w:ascii="Merriweather" w:hAnsi="Merriweather"/>
          <w:color w:val="212121"/>
        </w:rPr>
        <w:t>The Rumpelstiltskin effect: therapeutic repercussions of clinical diagnosis</w:t>
      </w:r>
      <w:bookmarkEnd w:id="20"/>
    </w:p>
    <w:p w14:paraId="3A1BCCD1" w14:textId="1DE60210" w:rsidR="006F702B" w:rsidRPr="006F702B" w:rsidRDefault="006F702B" w:rsidP="006F702B">
      <w:pPr>
        <w:rPr>
          <w:rFonts w:ascii="Segoe UI" w:hAnsi="Segoe UI" w:cs="Segoe UI"/>
        </w:rPr>
      </w:pPr>
      <w:proofErr w:type="spellStart"/>
      <w:r w:rsidRPr="006F702B">
        <w:rPr>
          <w:rFonts w:ascii="Segoe UI" w:hAnsi="Segoe UI" w:cs="Segoe UI"/>
        </w:rPr>
        <w:t>Levinovitz</w:t>
      </w:r>
      <w:proofErr w:type="spellEnd"/>
      <w:r w:rsidRPr="006F702B">
        <w:rPr>
          <w:rFonts w:ascii="Segoe UI" w:hAnsi="Segoe UI" w:cs="Segoe UI"/>
        </w:rPr>
        <w:t xml:space="preserve"> A, Aftab A. The Rumpelstiltskin effect: therapeutic repercussions of clinical diagnosis. </w:t>
      </w:r>
      <w:proofErr w:type="spellStart"/>
      <w:r w:rsidRPr="006F702B">
        <w:rPr>
          <w:rFonts w:ascii="Segoe UI" w:hAnsi="Segoe UI" w:cs="Segoe UI"/>
        </w:rPr>
        <w:t>BJPsych</w:t>
      </w:r>
      <w:proofErr w:type="spellEnd"/>
      <w:r w:rsidRPr="006F702B">
        <w:rPr>
          <w:rFonts w:ascii="Segoe UI" w:hAnsi="Segoe UI" w:cs="Segoe UI"/>
        </w:rPr>
        <w:t xml:space="preserve"> Bull. 2025 Aug 22:1-5. </w:t>
      </w:r>
      <w:proofErr w:type="spellStart"/>
      <w:r w:rsidRPr="006F702B">
        <w:rPr>
          <w:rFonts w:ascii="Segoe UI" w:hAnsi="Segoe UI" w:cs="Segoe UI"/>
        </w:rPr>
        <w:t>doi</w:t>
      </w:r>
      <w:proofErr w:type="spellEnd"/>
      <w:r w:rsidRPr="006F702B">
        <w:rPr>
          <w:rFonts w:ascii="Segoe UI" w:hAnsi="Segoe UI" w:cs="Segoe UI"/>
        </w:rPr>
        <w:t xml:space="preserve">: 10.1192/bjb.2025.10137. </w:t>
      </w:r>
      <w:proofErr w:type="spellStart"/>
      <w:r w:rsidRPr="006F702B">
        <w:rPr>
          <w:rFonts w:ascii="Segoe UI" w:hAnsi="Segoe UI" w:cs="Segoe UI"/>
        </w:rPr>
        <w:t>Epub</w:t>
      </w:r>
      <w:proofErr w:type="spellEnd"/>
      <w:r w:rsidRPr="006F702B">
        <w:rPr>
          <w:rFonts w:ascii="Segoe UI" w:hAnsi="Segoe UI" w:cs="Segoe UI"/>
        </w:rPr>
        <w:t xml:space="preserve"> ahead of print. PMID: 40841186.</w:t>
      </w:r>
    </w:p>
    <w:p w14:paraId="1206A2AD" w14:textId="15356D53" w:rsidR="006F702B" w:rsidRPr="006F702B" w:rsidRDefault="006F702B" w:rsidP="006F702B">
      <w:pPr>
        <w:rPr>
          <w:rFonts w:ascii="Segoe UI" w:hAnsi="Segoe UI" w:cs="Segoe UI"/>
        </w:rPr>
      </w:pPr>
      <w:r w:rsidRPr="006F702B">
        <w:rPr>
          <w:rFonts w:ascii="Segoe UI" w:hAnsi="Segoe UI" w:cs="Segoe UI"/>
        </w:rPr>
        <w:t>Clinicians across medical disciplines are intimately familiar with an unusual feature of descriptive diagnoses. The diagnostic terms, despite their non-</w:t>
      </w:r>
      <w:proofErr w:type="spellStart"/>
      <w:r w:rsidRPr="006F702B">
        <w:rPr>
          <w:rFonts w:ascii="Segoe UI" w:hAnsi="Segoe UI" w:cs="Segoe UI"/>
        </w:rPr>
        <w:t>aetiological</w:t>
      </w:r>
      <w:proofErr w:type="spellEnd"/>
      <w:r w:rsidRPr="006F702B">
        <w:rPr>
          <w:rFonts w:ascii="Segoe UI" w:hAnsi="Segoe UI" w:cs="Segoe UI"/>
        </w:rPr>
        <w:t xml:space="preserve"> nature, seem to offer an explanatory lens to many patients, at times with profound effects. These experiences highlight a striking, neglected and </w:t>
      </w:r>
      <w:proofErr w:type="spellStart"/>
      <w:r w:rsidRPr="006F702B">
        <w:rPr>
          <w:rFonts w:ascii="Segoe UI" w:hAnsi="Segoe UI" w:cs="Segoe UI"/>
        </w:rPr>
        <w:t>unchristened</w:t>
      </w:r>
      <w:proofErr w:type="spellEnd"/>
      <w:r w:rsidRPr="006F702B">
        <w:rPr>
          <w:rFonts w:ascii="Segoe UI" w:hAnsi="Segoe UI" w:cs="Segoe UI"/>
        </w:rPr>
        <w:t xml:space="preserve"> medical phenomenon: the therapeutic effect of a clinical diagnosis, independent of any other intervention, where clinical diagnosis refers to situating the person's experiences into a clinical category by either a clinician or the patient. We call this the Rumpelstiltskin effect. This article describes this phenomenon and highlights its importance as a topic of empirical investigation.</w:t>
      </w:r>
    </w:p>
    <w:p w14:paraId="660F0C98" w14:textId="3459105C" w:rsidR="00B35071" w:rsidRDefault="00B35071" w:rsidP="006E2EB4">
      <w:pPr>
        <w:rPr>
          <w:rFonts w:cstheme="minorHAnsi"/>
        </w:rPr>
      </w:pPr>
    </w:p>
    <w:p w14:paraId="60AFD835" w14:textId="77777777" w:rsidR="008B6741" w:rsidRDefault="008B6741" w:rsidP="008B6741">
      <w:pPr>
        <w:pStyle w:val="Heading1"/>
        <w:shd w:val="clear" w:color="auto" w:fill="FFFFFF"/>
        <w:rPr>
          <w:rFonts w:ascii="Merriweather" w:hAnsi="Merriweather"/>
          <w:color w:val="212121"/>
        </w:rPr>
      </w:pPr>
      <w:bookmarkStart w:id="21" w:name="_Toc211325146"/>
      <w:r>
        <w:rPr>
          <w:rFonts w:ascii="Merriweather" w:hAnsi="Merriweather"/>
          <w:color w:val="212121"/>
        </w:rPr>
        <w:t>Isotretinoin use, mood changes and suicidality. What is the link? Commentary, Duan and Chen</w:t>
      </w:r>
      <w:bookmarkEnd w:id="21"/>
    </w:p>
    <w:p w14:paraId="52C1D601" w14:textId="77777777" w:rsidR="008B6741" w:rsidRDefault="008B6741" w:rsidP="006E2EB4">
      <w:pPr>
        <w:rPr>
          <w:rFonts w:cstheme="minorHAnsi"/>
        </w:rPr>
      </w:pPr>
    </w:p>
    <w:p w14:paraId="4E56E4EF" w14:textId="2B7DD291" w:rsidR="008B6741" w:rsidRDefault="008B6741" w:rsidP="006E2EB4">
      <w:pPr>
        <w:rPr>
          <w:rFonts w:ascii="Segoe UI" w:hAnsi="Segoe UI" w:cs="Segoe UI"/>
          <w:color w:val="212121"/>
          <w:shd w:val="clear" w:color="auto" w:fill="FFFFFF"/>
        </w:rPr>
      </w:pPr>
      <w:r>
        <w:rPr>
          <w:rFonts w:ascii="Segoe UI" w:hAnsi="Segoe UI" w:cs="Segoe UI"/>
          <w:color w:val="212121"/>
          <w:shd w:val="clear" w:color="auto" w:fill="FFFFFF"/>
        </w:rPr>
        <w:t xml:space="preserve">Duan Y, Chen R. Isotretinoin use, mood changes and suicidality. What is the link? Commentary, Duan and Chen. Br J Psychiatry. 2025 Oct;227(4):725-726.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10.1192/bjp.2025.75.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Jul 22. </w:t>
      </w:r>
      <w:r w:rsidRPr="006F702B">
        <w:rPr>
          <w:rFonts w:ascii="Segoe UI" w:hAnsi="Segoe UI" w:cs="Segoe UI"/>
          <w:shd w:val="clear" w:color="auto" w:fill="FFFFFF"/>
        </w:rPr>
        <w:t>PMID: 40692439</w:t>
      </w:r>
    </w:p>
    <w:p w14:paraId="7F5F9CE8" w14:textId="77777777" w:rsidR="008B6741" w:rsidRPr="008B6741" w:rsidRDefault="008B6741" w:rsidP="008B6741">
      <w:pPr>
        <w:spacing w:after="0" w:line="240" w:lineRule="auto"/>
        <w:rPr>
          <w:rFonts w:ascii="Times New Roman" w:eastAsia="Times New Roman" w:hAnsi="Times New Roman" w:cs="Times New Roman"/>
          <w:sz w:val="24"/>
          <w:szCs w:val="24"/>
        </w:rPr>
      </w:pPr>
      <w:r w:rsidRPr="008B6741">
        <w:rPr>
          <w:rFonts w:ascii="Segoe UI" w:eastAsia="Times New Roman" w:hAnsi="Segoe UI" w:cs="Segoe UI"/>
          <w:i/>
          <w:iCs/>
          <w:color w:val="5B616B"/>
          <w:sz w:val="24"/>
          <w:szCs w:val="24"/>
          <w:shd w:val="clear" w:color="auto" w:fill="FFFFFF"/>
        </w:rPr>
        <w:t>No abstract available</w:t>
      </w:r>
    </w:p>
    <w:p w14:paraId="71259168" w14:textId="290852F3" w:rsidR="008B6741" w:rsidRDefault="008B6741" w:rsidP="006E2EB4">
      <w:pPr>
        <w:rPr>
          <w:rFonts w:ascii="Segoe UI" w:hAnsi="Segoe UI" w:cs="Segoe UI"/>
          <w:color w:val="212121"/>
          <w:shd w:val="clear" w:color="auto" w:fill="FFFFFF"/>
        </w:rPr>
      </w:pPr>
    </w:p>
    <w:p w14:paraId="285AF5E7" w14:textId="77777777" w:rsidR="00395EBE" w:rsidRDefault="00395EBE" w:rsidP="00395EBE">
      <w:pPr>
        <w:pStyle w:val="Heading1"/>
        <w:shd w:val="clear" w:color="auto" w:fill="FFFFFF"/>
        <w:rPr>
          <w:rFonts w:ascii="Merriweather" w:hAnsi="Merriweather"/>
          <w:color w:val="212121"/>
        </w:rPr>
      </w:pPr>
      <w:bookmarkStart w:id="22" w:name="_Toc211325147"/>
      <w:r>
        <w:rPr>
          <w:rFonts w:ascii="Merriweather" w:hAnsi="Merriweather"/>
          <w:color w:val="212121"/>
        </w:rPr>
        <w:t>Acetaminophen Use in Pregnancy-Study Author Explains the Data</w:t>
      </w:r>
      <w:bookmarkEnd w:id="22"/>
    </w:p>
    <w:p w14:paraId="44985564" w14:textId="77777777" w:rsidR="00395EBE" w:rsidRDefault="00395EBE" w:rsidP="00395EBE">
      <w:pPr>
        <w:spacing w:after="0" w:line="240" w:lineRule="auto"/>
        <w:textAlignment w:val="baseline"/>
        <w:rPr>
          <w:rFonts w:ascii="Calibri" w:eastAsia="Times New Roman" w:hAnsi="Calibri" w:cs="Calibri"/>
          <w:color w:val="000000"/>
        </w:rPr>
      </w:pPr>
    </w:p>
    <w:p w14:paraId="2310B931" w14:textId="4E31DA02" w:rsidR="00395EBE" w:rsidRDefault="00395EBE" w:rsidP="00395EBE">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Schweitzer K. Acetaminophen Use in Pregnancy-Study Author Explains the Data. JAMA. 2025 Sep 29.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10.1001/jama.2025.19345.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r w:rsidRPr="006F702B">
        <w:rPr>
          <w:rFonts w:ascii="Segoe UI" w:hAnsi="Segoe UI" w:cs="Segoe UI"/>
          <w:shd w:val="clear" w:color="auto" w:fill="FFFFFF"/>
        </w:rPr>
        <w:t>PMID: 41021328</w:t>
      </w:r>
      <w:r>
        <w:rPr>
          <w:rFonts w:ascii="Segoe UI" w:hAnsi="Segoe UI" w:cs="Segoe UI"/>
          <w:color w:val="212121"/>
          <w:shd w:val="clear" w:color="auto" w:fill="FFFFFF"/>
        </w:rPr>
        <w:t>.</w:t>
      </w:r>
    </w:p>
    <w:p w14:paraId="539D5ACD" w14:textId="77777777" w:rsidR="00395EBE" w:rsidRDefault="00395EBE" w:rsidP="00395EBE">
      <w:pPr>
        <w:spacing w:after="0" w:line="240" w:lineRule="auto"/>
        <w:textAlignment w:val="baseline"/>
        <w:rPr>
          <w:rFonts w:ascii="Segoe UI" w:hAnsi="Segoe UI" w:cs="Segoe UI"/>
          <w:color w:val="212121"/>
          <w:shd w:val="clear" w:color="auto" w:fill="FFFFFF"/>
        </w:rPr>
      </w:pPr>
    </w:p>
    <w:p w14:paraId="56B147AF" w14:textId="77777777" w:rsidR="00395EBE" w:rsidRDefault="00395EBE" w:rsidP="00395EBE">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lastRenderedPageBreak/>
        <w:t>This Medical News article is an interview with epidemiologist Brian Lee, PhD, about his study on acetaminophen use during pregnancy and children’s risk of autism and other neurodevelopmental disorders.</w:t>
      </w:r>
    </w:p>
    <w:p w14:paraId="4F830511" w14:textId="77777777" w:rsidR="00395EBE" w:rsidRDefault="00395EBE" w:rsidP="006E2EB4">
      <w:pPr>
        <w:rPr>
          <w:rFonts w:ascii="Segoe UI" w:hAnsi="Segoe UI" w:cs="Segoe UI"/>
          <w:color w:val="212121"/>
          <w:shd w:val="clear" w:color="auto" w:fill="FFFFFF"/>
        </w:rPr>
      </w:pPr>
    </w:p>
    <w:p w14:paraId="3624A7A0" w14:textId="77777777" w:rsidR="00136587" w:rsidRDefault="00136587" w:rsidP="00136587">
      <w:pPr>
        <w:pStyle w:val="Heading1"/>
        <w:shd w:val="clear" w:color="auto" w:fill="FFFFFF"/>
        <w:rPr>
          <w:rFonts w:ascii="Merriweather" w:hAnsi="Merriweather"/>
          <w:color w:val="212121"/>
        </w:rPr>
      </w:pPr>
      <w:bookmarkStart w:id="23" w:name="_Toc211325148"/>
      <w:r>
        <w:rPr>
          <w:rFonts w:ascii="Merriweather" w:hAnsi="Merriweather"/>
          <w:color w:val="212121"/>
        </w:rPr>
        <w:t>20 Years of Aberrant Salience in Psychosis: What Have We Learned?</w:t>
      </w:r>
      <w:bookmarkEnd w:id="23"/>
    </w:p>
    <w:p w14:paraId="373F785F" w14:textId="77777777" w:rsidR="00136587" w:rsidRDefault="00136587" w:rsidP="00136587">
      <w:pPr>
        <w:spacing w:after="0" w:line="240" w:lineRule="auto"/>
        <w:textAlignment w:val="baseline"/>
        <w:rPr>
          <w:rFonts w:ascii="Calibri" w:eastAsia="Times New Roman" w:hAnsi="Calibri" w:cs="Calibri"/>
          <w:color w:val="000000"/>
        </w:rPr>
      </w:pPr>
    </w:p>
    <w:p w14:paraId="18F9A6C9" w14:textId="3B13CAD1" w:rsidR="00136587" w:rsidRDefault="00136587" w:rsidP="00136587">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Corlett PR, Fraser KM. 20 Years of Aberrant Salience in Psychosis: What Have We Learned? Am J Psychiatry. 2025 Sep 1;182(9):819-829.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10.1176/appi.ajp.20240556.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Mar 26. </w:t>
      </w:r>
      <w:r w:rsidRPr="006F702B">
        <w:rPr>
          <w:rFonts w:ascii="Segoe UI" w:hAnsi="Segoe UI" w:cs="Segoe UI"/>
          <w:shd w:val="clear" w:color="auto" w:fill="FFFFFF"/>
        </w:rPr>
        <w:t>PMID: 40134268.</w:t>
      </w:r>
    </w:p>
    <w:p w14:paraId="3C80316E" w14:textId="77777777" w:rsidR="00136587" w:rsidRDefault="00136587" w:rsidP="00136587">
      <w:pPr>
        <w:spacing w:after="0" w:line="240" w:lineRule="auto"/>
        <w:textAlignment w:val="baseline"/>
        <w:rPr>
          <w:rFonts w:ascii="Segoe UI" w:hAnsi="Segoe UI" w:cs="Segoe UI"/>
          <w:color w:val="212121"/>
          <w:shd w:val="clear" w:color="auto" w:fill="FFFFFF"/>
        </w:rPr>
      </w:pPr>
    </w:p>
    <w:p w14:paraId="1CF51C95" w14:textId="77777777" w:rsidR="00136587" w:rsidRDefault="00136587" w:rsidP="00136587">
      <w:pPr>
        <w:spacing w:after="0" w:line="240" w:lineRule="auto"/>
        <w:textAlignment w:val="baseline"/>
        <w:rPr>
          <w:rFonts w:ascii="Segoe UI" w:hAnsi="Segoe UI" w:cs="Segoe UI"/>
          <w:color w:val="212121"/>
          <w:shd w:val="clear" w:color="auto" w:fill="FFFFFF"/>
        </w:rPr>
      </w:pPr>
      <w:r>
        <w:rPr>
          <w:rFonts w:ascii="Segoe UI" w:hAnsi="Segoe UI" w:cs="Segoe UI"/>
          <w:color w:val="212121"/>
          <w:shd w:val="clear" w:color="auto" w:fill="FFFFFF"/>
        </w:rPr>
        <w:t xml:space="preserve">Twenty years </w:t>
      </w:r>
      <w:proofErr w:type="gramStart"/>
      <w:r>
        <w:rPr>
          <w:rFonts w:ascii="Segoe UI" w:hAnsi="Segoe UI" w:cs="Segoe UI"/>
          <w:color w:val="212121"/>
          <w:shd w:val="clear" w:color="auto" w:fill="FFFFFF"/>
        </w:rPr>
        <w:t>ago</w:t>
      </w:r>
      <w:proofErr w:type="gram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Shitij</w:t>
      </w:r>
      <w:proofErr w:type="spellEnd"/>
      <w:r>
        <w:rPr>
          <w:rFonts w:ascii="Segoe UI" w:hAnsi="Segoe UI" w:cs="Segoe UI"/>
          <w:color w:val="212121"/>
          <w:shd w:val="clear" w:color="auto" w:fill="FFFFFF"/>
        </w:rPr>
        <w:t xml:space="preserve"> Kapur's "</w:t>
      </w:r>
      <w:r>
        <w:rPr>
          <w:rFonts w:ascii="Segoe UI" w:hAnsi="Segoe UI" w:cs="Segoe UI"/>
          <w:b/>
          <w:bCs/>
          <w:i/>
          <w:iCs/>
          <w:color w:val="212121"/>
          <w:shd w:val="clear" w:color="auto" w:fill="FFFFFF"/>
        </w:rPr>
        <w:t>Psychosis as a state of aberrant salience</w:t>
      </w:r>
      <w:r>
        <w:rPr>
          <w:rFonts w:ascii="Segoe UI" w:hAnsi="Segoe UI" w:cs="Segoe UI"/>
          <w:color w:val="212121"/>
          <w:shd w:val="clear" w:color="auto" w:fill="FFFFFF"/>
        </w:rPr>
        <w:t>" captured the attention of clinicians and cognitive and behavioral neuroscientists. It has become the de facto way of talking about delusion formation in labs and clinics. Here, evidence for this theory is critically evaluated in consideration of evolving data since its publication. A particular focus is placed on its specific predictions regarding the neural and behavioral loci of dopamine dysfunction in psychosis and finds them lacking. This examination is informed by recent advances in the understanding of the function of the dopamine system and its impacts on behavior following the explosion of new tools and probes for precise measurement and manipulation of dopaminergic circuits. Contemporary theories that have developed since Kapur-which suggest a role for dopamine in belief formation, belief updating under uncertainty, and abductive inference to the best explanation for some set of circumstances-are argued to form a more cogent theory that fits better with the work in patients with delusions and hallucinations, how they behave, and what is known about the function of their dopamine system. The original salience hypothesis has been influential as it attempted to unite neurochemical dysfunction with clinical phenomenology through computational cognitive neuroscience, which has led to the development of novel predictions that the authors highlight as future directions for the field.</w:t>
      </w:r>
    </w:p>
    <w:p w14:paraId="52E86BB0" w14:textId="77777777" w:rsidR="00395EBE" w:rsidRPr="004A4667" w:rsidRDefault="00395EBE" w:rsidP="006E2EB4">
      <w:pPr>
        <w:rPr>
          <w:rFonts w:cstheme="minorHAnsi"/>
        </w:rPr>
      </w:pPr>
    </w:p>
    <w:sectPr w:rsidR="00395EBE" w:rsidRPr="004A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F5"/>
    <w:multiLevelType w:val="multilevel"/>
    <w:tmpl w:val="97B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5D99"/>
    <w:multiLevelType w:val="multilevel"/>
    <w:tmpl w:val="135A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29E9"/>
    <w:multiLevelType w:val="multilevel"/>
    <w:tmpl w:val="FFC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14B8"/>
    <w:multiLevelType w:val="multilevel"/>
    <w:tmpl w:val="F46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A1614"/>
    <w:multiLevelType w:val="multilevel"/>
    <w:tmpl w:val="4F3E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C07D5"/>
    <w:multiLevelType w:val="multilevel"/>
    <w:tmpl w:val="49B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F4F22"/>
    <w:multiLevelType w:val="multilevel"/>
    <w:tmpl w:val="04B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41B37"/>
    <w:multiLevelType w:val="multilevel"/>
    <w:tmpl w:val="9FC4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A0CB5"/>
    <w:multiLevelType w:val="multilevel"/>
    <w:tmpl w:val="56E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67F40"/>
    <w:multiLevelType w:val="multilevel"/>
    <w:tmpl w:val="0B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66D30"/>
    <w:multiLevelType w:val="multilevel"/>
    <w:tmpl w:val="2992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44F62"/>
    <w:multiLevelType w:val="multilevel"/>
    <w:tmpl w:val="368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C72B68"/>
    <w:multiLevelType w:val="multilevel"/>
    <w:tmpl w:val="F9FE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20"/>
  </w:num>
  <w:num w:numId="2" w16cid:durableId="345333278">
    <w:abstractNumId w:val="23"/>
  </w:num>
  <w:num w:numId="3" w16cid:durableId="2053262522">
    <w:abstractNumId w:val="26"/>
  </w:num>
  <w:num w:numId="4" w16cid:durableId="521750491">
    <w:abstractNumId w:val="24"/>
  </w:num>
  <w:num w:numId="5" w16cid:durableId="1358893380">
    <w:abstractNumId w:val="3"/>
  </w:num>
  <w:num w:numId="6" w16cid:durableId="1750229825">
    <w:abstractNumId w:val="0"/>
  </w:num>
  <w:num w:numId="7" w16cid:durableId="1633175896">
    <w:abstractNumId w:val="8"/>
  </w:num>
  <w:num w:numId="8" w16cid:durableId="1986275839">
    <w:abstractNumId w:val="36"/>
  </w:num>
  <w:num w:numId="9" w16cid:durableId="1611625440">
    <w:abstractNumId w:val="33"/>
  </w:num>
  <w:num w:numId="10" w16cid:durableId="907571482">
    <w:abstractNumId w:val="10"/>
  </w:num>
  <w:num w:numId="11" w16cid:durableId="335814740">
    <w:abstractNumId w:val="14"/>
  </w:num>
  <w:num w:numId="12" w16cid:durableId="438375495">
    <w:abstractNumId w:val="28"/>
  </w:num>
  <w:num w:numId="13" w16cid:durableId="906183398">
    <w:abstractNumId w:val="19"/>
  </w:num>
  <w:num w:numId="14" w16cid:durableId="1005284237">
    <w:abstractNumId w:val="5"/>
  </w:num>
  <w:num w:numId="15" w16cid:durableId="593441118">
    <w:abstractNumId w:val="12"/>
  </w:num>
  <w:num w:numId="16" w16cid:durableId="220285841">
    <w:abstractNumId w:val="16"/>
  </w:num>
  <w:num w:numId="17" w16cid:durableId="1148202156">
    <w:abstractNumId w:val="17"/>
  </w:num>
  <w:num w:numId="18" w16cid:durableId="310719742">
    <w:abstractNumId w:val="38"/>
  </w:num>
  <w:num w:numId="19" w16cid:durableId="864368771">
    <w:abstractNumId w:val="15"/>
  </w:num>
  <w:num w:numId="20" w16cid:durableId="1580288718">
    <w:abstractNumId w:val="21"/>
  </w:num>
  <w:num w:numId="21" w16cid:durableId="1918897270">
    <w:abstractNumId w:val="29"/>
  </w:num>
  <w:num w:numId="22" w16cid:durableId="1705013224">
    <w:abstractNumId w:val="25"/>
  </w:num>
  <w:num w:numId="23" w16cid:durableId="50269659">
    <w:abstractNumId w:val="35"/>
  </w:num>
  <w:num w:numId="24" w16cid:durableId="548036851">
    <w:abstractNumId w:val="7"/>
  </w:num>
  <w:num w:numId="25" w16cid:durableId="2072117996">
    <w:abstractNumId w:val="9"/>
  </w:num>
  <w:num w:numId="26" w16cid:durableId="1716350154">
    <w:abstractNumId w:val="31"/>
  </w:num>
  <w:num w:numId="27" w16cid:durableId="12190000">
    <w:abstractNumId w:val="34"/>
  </w:num>
  <w:num w:numId="28" w16cid:durableId="1967544695">
    <w:abstractNumId w:val="27"/>
  </w:num>
  <w:num w:numId="29" w16cid:durableId="1572882840">
    <w:abstractNumId w:val="30"/>
  </w:num>
  <w:num w:numId="30" w16cid:durableId="169370287">
    <w:abstractNumId w:val="6"/>
  </w:num>
  <w:num w:numId="31" w16cid:durableId="13700926">
    <w:abstractNumId w:val="4"/>
  </w:num>
  <w:num w:numId="32" w16cid:durableId="1859811930">
    <w:abstractNumId w:val="22"/>
  </w:num>
  <w:num w:numId="33" w16cid:durableId="169567079">
    <w:abstractNumId w:val="32"/>
  </w:num>
  <w:num w:numId="34" w16cid:durableId="601035730">
    <w:abstractNumId w:val="18"/>
  </w:num>
  <w:num w:numId="35" w16cid:durableId="2137334822">
    <w:abstractNumId w:val="13"/>
  </w:num>
  <w:num w:numId="36" w16cid:durableId="74983993">
    <w:abstractNumId w:val="1"/>
  </w:num>
  <w:num w:numId="37" w16cid:durableId="954942325">
    <w:abstractNumId w:val="2"/>
  </w:num>
  <w:num w:numId="38" w16cid:durableId="589311844">
    <w:abstractNumId w:val="37"/>
  </w:num>
  <w:num w:numId="39" w16cid:durableId="42288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075A3"/>
    <w:rsid w:val="0001629A"/>
    <w:rsid w:val="00017603"/>
    <w:rsid w:val="00030438"/>
    <w:rsid w:val="00033221"/>
    <w:rsid w:val="000423E0"/>
    <w:rsid w:val="000447D5"/>
    <w:rsid w:val="000510E4"/>
    <w:rsid w:val="00052FB3"/>
    <w:rsid w:val="00060B43"/>
    <w:rsid w:val="00061220"/>
    <w:rsid w:val="000642DD"/>
    <w:rsid w:val="00077F6B"/>
    <w:rsid w:val="000A0A1A"/>
    <w:rsid w:val="000B160E"/>
    <w:rsid w:val="000B3815"/>
    <w:rsid w:val="000C2B76"/>
    <w:rsid w:val="000C337B"/>
    <w:rsid w:val="000D0E5D"/>
    <w:rsid w:val="000D4328"/>
    <w:rsid w:val="000D51F4"/>
    <w:rsid w:val="000D6388"/>
    <w:rsid w:val="000E1044"/>
    <w:rsid w:val="000F1B47"/>
    <w:rsid w:val="00100DA1"/>
    <w:rsid w:val="001029AD"/>
    <w:rsid w:val="00104C6B"/>
    <w:rsid w:val="00107500"/>
    <w:rsid w:val="001124A4"/>
    <w:rsid w:val="001133DB"/>
    <w:rsid w:val="00122F8D"/>
    <w:rsid w:val="00136587"/>
    <w:rsid w:val="0014263C"/>
    <w:rsid w:val="00152402"/>
    <w:rsid w:val="0016071D"/>
    <w:rsid w:val="00162DAA"/>
    <w:rsid w:val="00167A2D"/>
    <w:rsid w:val="00167D83"/>
    <w:rsid w:val="0017002E"/>
    <w:rsid w:val="00174B4F"/>
    <w:rsid w:val="0017664F"/>
    <w:rsid w:val="001810E1"/>
    <w:rsid w:val="00181909"/>
    <w:rsid w:val="001824C2"/>
    <w:rsid w:val="0019542A"/>
    <w:rsid w:val="001A0E78"/>
    <w:rsid w:val="001A5A14"/>
    <w:rsid w:val="001B431C"/>
    <w:rsid w:val="001C5A2D"/>
    <w:rsid w:val="001C6C72"/>
    <w:rsid w:val="001D03A4"/>
    <w:rsid w:val="001D2056"/>
    <w:rsid w:val="001D20B2"/>
    <w:rsid w:val="001D558C"/>
    <w:rsid w:val="001D698C"/>
    <w:rsid w:val="001E0169"/>
    <w:rsid w:val="001F0823"/>
    <w:rsid w:val="001F0826"/>
    <w:rsid w:val="0020404E"/>
    <w:rsid w:val="0020702B"/>
    <w:rsid w:val="00216C8E"/>
    <w:rsid w:val="00223170"/>
    <w:rsid w:val="0022361C"/>
    <w:rsid w:val="00225D95"/>
    <w:rsid w:val="00230500"/>
    <w:rsid w:val="0025113A"/>
    <w:rsid w:val="00264263"/>
    <w:rsid w:val="00264F03"/>
    <w:rsid w:val="002721BE"/>
    <w:rsid w:val="00283732"/>
    <w:rsid w:val="002911D0"/>
    <w:rsid w:val="00291227"/>
    <w:rsid w:val="00295BEB"/>
    <w:rsid w:val="002A2E5F"/>
    <w:rsid w:val="002A53FF"/>
    <w:rsid w:val="002B1831"/>
    <w:rsid w:val="002C17D1"/>
    <w:rsid w:val="002C31FA"/>
    <w:rsid w:val="002D658A"/>
    <w:rsid w:val="002E5085"/>
    <w:rsid w:val="002F1B10"/>
    <w:rsid w:val="00307E29"/>
    <w:rsid w:val="00313E9A"/>
    <w:rsid w:val="00316627"/>
    <w:rsid w:val="003176F3"/>
    <w:rsid w:val="00335886"/>
    <w:rsid w:val="00337004"/>
    <w:rsid w:val="00344D8A"/>
    <w:rsid w:val="00351346"/>
    <w:rsid w:val="003521A6"/>
    <w:rsid w:val="003564B8"/>
    <w:rsid w:val="0036039B"/>
    <w:rsid w:val="00361083"/>
    <w:rsid w:val="0036600D"/>
    <w:rsid w:val="003663E5"/>
    <w:rsid w:val="00374DAC"/>
    <w:rsid w:val="00375FB8"/>
    <w:rsid w:val="0037747F"/>
    <w:rsid w:val="00381EE2"/>
    <w:rsid w:val="003821FA"/>
    <w:rsid w:val="003853F6"/>
    <w:rsid w:val="00391F75"/>
    <w:rsid w:val="00391FF5"/>
    <w:rsid w:val="00395ADA"/>
    <w:rsid w:val="00395EBE"/>
    <w:rsid w:val="0039654B"/>
    <w:rsid w:val="003B3F3A"/>
    <w:rsid w:val="003B48EC"/>
    <w:rsid w:val="003B78D1"/>
    <w:rsid w:val="003E211E"/>
    <w:rsid w:val="003E775C"/>
    <w:rsid w:val="003F42CF"/>
    <w:rsid w:val="00415EC4"/>
    <w:rsid w:val="0041687F"/>
    <w:rsid w:val="004300D3"/>
    <w:rsid w:val="00430530"/>
    <w:rsid w:val="004308DF"/>
    <w:rsid w:val="00443AB0"/>
    <w:rsid w:val="0045378A"/>
    <w:rsid w:val="00460B47"/>
    <w:rsid w:val="00467763"/>
    <w:rsid w:val="00467F7B"/>
    <w:rsid w:val="004776C6"/>
    <w:rsid w:val="00482106"/>
    <w:rsid w:val="00484C98"/>
    <w:rsid w:val="0048511F"/>
    <w:rsid w:val="00495BC7"/>
    <w:rsid w:val="004A4667"/>
    <w:rsid w:val="004B2E22"/>
    <w:rsid w:val="004B6FEA"/>
    <w:rsid w:val="004C5A57"/>
    <w:rsid w:val="004D5D56"/>
    <w:rsid w:val="004D61DC"/>
    <w:rsid w:val="004E4D66"/>
    <w:rsid w:val="004F4400"/>
    <w:rsid w:val="005063D4"/>
    <w:rsid w:val="00507647"/>
    <w:rsid w:val="00514989"/>
    <w:rsid w:val="00515C81"/>
    <w:rsid w:val="00517CBC"/>
    <w:rsid w:val="0052724A"/>
    <w:rsid w:val="0052739B"/>
    <w:rsid w:val="005308D1"/>
    <w:rsid w:val="005379F9"/>
    <w:rsid w:val="005514A0"/>
    <w:rsid w:val="005604AB"/>
    <w:rsid w:val="00562D51"/>
    <w:rsid w:val="005702A2"/>
    <w:rsid w:val="00571C22"/>
    <w:rsid w:val="00572ADB"/>
    <w:rsid w:val="00583B9B"/>
    <w:rsid w:val="005860BF"/>
    <w:rsid w:val="0059046C"/>
    <w:rsid w:val="00591586"/>
    <w:rsid w:val="00594B79"/>
    <w:rsid w:val="00595183"/>
    <w:rsid w:val="00595750"/>
    <w:rsid w:val="005C3C2E"/>
    <w:rsid w:val="005C4DA1"/>
    <w:rsid w:val="005E25D4"/>
    <w:rsid w:val="005E55E9"/>
    <w:rsid w:val="005F2364"/>
    <w:rsid w:val="005F3962"/>
    <w:rsid w:val="0060188C"/>
    <w:rsid w:val="0060720C"/>
    <w:rsid w:val="00613FBD"/>
    <w:rsid w:val="006144C1"/>
    <w:rsid w:val="00631F0F"/>
    <w:rsid w:val="006328E1"/>
    <w:rsid w:val="006346BE"/>
    <w:rsid w:val="00635856"/>
    <w:rsid w:val="006368D1"/>
    <w:rsid w:val="00637CE2"/>
    <w:rsid w:val="00640EE9"/>
    <w:rsid w:val="00643704"/>
    <w:rsid w:val="00644148"/>
    <w:rsid w:val="00644819"/>
    <w:rsid w:val="00653290"/>
    <w:rsid w:val="00656CEC"/>
    <w:rsid w:val="0066255F"/>
    <w:rsid w:val="00666D00"/>
    <w:rsid w:val="0068183C"/>
    <w:rsid w:val="00686893"/>
    <w:rsid w:val="00687994"/>
    <w:rsid w:val="006910EE"/>
    <w:rsid w:val="0069340A"/>
    <w:rsid w:val="0069475A"/>
    <w:rsid w:val="006972A3"/>
    <w:rsid w:val="006A1A60"/>
    <w:rsid w:val="006A2F53"/>
    <w:rsid w:val="006A7B6C"/>
    <w:rsid w:val="006B12EC"/>
    <w:rsid w:val="006B3B15"/>
    <w:rsid w:val="006B3ED6"/>
    <w:rsid w:val="006C0895"/>
    <w:rsid w:val="006C1528"/>
    <w:rsid w:val="006C2A8E"/>
    <w:rsid w:val="006C3626"/>
    <w:rsid w:val="006C434B"/>
    <w:rsid w:val="006C6008"/>
    <w:rsid w:val="006D2342"/>
    <w:rsid w:val="006E2EB4"/>
    <w:rsid w:val="006E5376"/>
    <w:rsid w:val="006E769A"/>
    <w:rsid w:val="006F0B5F"/>
    <w:rsid w:val="006F1E47"/>
    <w:rsid w:val="006F57DA"/>
    <w:rsid w:val="006F702B"/>
    <w:rsid w:val="00702CAC"/>
    <w:rsid w:val="00706C7D"/>
    <w:rsid w:val="00716ABB"/>
    <w:rsid w:val="00724AC2"/>
    <w:rsid w:val="00731277"/>
    <w:rsid w:val="0073516A"/>
    <w:rsid w:val="007411FF"/>
    <w:rsid w:val="007466BC"/>
    <w:rsid w:val="00760E32"/>
    <w:rsid w:val="007678BB"/>
    <w:rsid w:val="007770EE"/>
    <w:rsid w:val="00781833"/>
    <w:rsid w:val="007818A5"/>
    <w:rsid w:val="0079119D"/>
    <w:rsid w:val="0079285D"/>
    <w:rsid w:val="007A4BA0"/>
    <w:rsid w:val="007C2BCB"/>
    <w:rsid w:val="007D2E46"/>
    <w:rsid w:val="007D34F4"/>
    <w:rsid w:val="007E564E"/>
    <w:rsid w:val="007F4F63"/>
    <w:rsid w:val="007F57FF"/>
    <w:rsid w:val="007F6E6E"/>
    <w:rsid w:val="008017D8"/>
    <w:rsid w:val="00802289"/>
    <w:rsid w:val="00827E01"/>
    <w:rsid w:val="00836BD7"/>
    <w:rsid w:val="0084402C"/>
    <w:rsid w:val="00852E3A"/>
    <w:rsid w:val="008544CB"/>
    <w:rsid w:val="00854980"/>
    <w:rsid w:val="00870B4C"/>
    <w:rsid w:val="00876D1F"/>
    <w:rsid w:val="00880BEB"/>
    <w:rsid w:val="008844FD"/>
    <w:rsid w:val="00887650"/>
    <w:rsid w:val="00890822"/>
    <w:rsid w:val="00893E22"/>
    <w:rsid w:val="008953B5"/>
    <w:rsid w:val="008A2095"/>
    <w:rsid w:val="008A37CF"/>
    <w:rsid w:val="008B6741"/>
    <w:rsid w:val="008B7366"/>
    <w:rsid w:val="008C086A"/>
    <w:rsid w:val="008C3EFB"/>
    <w:rsid w:val="008D1928"/>
    <w:rsid w:val="008E030F"/>
    <w:rsid w:val="008F494D"/>
    <w:rsid w:val="008F66F2"/>
    <w:rsid w:val="00900AEC"/>
    <w:rsid w:val="00904F78"/>
    <w:rsid w:val="00906E72"/>
    <w:rsid w:val="00912249"/>
    <w:rsid w:val="00920B41"/>
    <w:rsid w:val="009227FB"/>
    <w:rsid w:val="00925182"/>
    <w:rsid w:val="009320A5"/>
    <w:rsid w:val="00932BC1"/>
    <w:rsid w:val="00933D8F"/>
    <w:rsid w:val="00937C97"/>
    <w:rsid w:val="00941E18"/>
    <w:rsid w:val="0094524B"/>
    <w:rsid w:val="009464E3"/>
    <w:rsid w:val="00947DEA"/>
    <w:rsid w:val="00960961"/>
    <w:rsid w:val="009622D9"/>
    <w:rsid w:val="0097450A"/>
    <w:rsid w:val="00980C92"/>
    <w:rsid w:val="0098189D"/>
    <w:rsid w:val="0098517F"/>
    <w:rsid w:val="009C0BEE"/>
    <w:rsid w:val="009C657C"/>
    <w:rsid w:val="009E1782"/>
    <w:rsid w:val="009F0058"/>
    <w:rsid w:val="009F32DF"/>
    <w:rsid w:val="00A00324"/>
    <w:rsid w:val="00A0099A"/>
    <w:rsid w:val="00A0147B"/>
    <w:rsid w:val="00A07CFF"/>
    <w:rsid w:val="00A108FA"/>
    <w:rsid w:val="00A1414E"/>
    <w:rsid w:val="00A163EC"/>
    <w:rsid w:val="00A16C9C"/>
    <w:rsid w:val="00A17A4B"/>
    <w:rsid w:val="00A211FC"/>
    <w:rsid w:val="00A21D86"/>
    <w:rsid w:val="00A234AB"/>
    <w:rsid w:val="00A2462A"/>
    <w:rsid w:val="00A32828"/>
    <w:rsid w:val="00A36EC1"/>
    <w:rsid w:val="00A41334"/>
    <w:rsid w:val="00A603BC"/>
    <w:rsid w:val="00A61E2B"/>
    <w:rsid w:val="00A67FCF"/>
    <w:rsid w:val="00A749C6"/>
    <w:rsid w:val="00A83B11"/>
    <w:rsid w:val="00A84A15"/>
    <w:rsid w:val="00AA03EC"/>
    <w:rsid w:val="00AA160A"/>
    <w:rsid w:val="00AA4F18"/>
    <w:rsid w:val="00AB19F2"/>
    <w:rsid w:val="00AB4610"/>
    <w:rsid w:val="00AC1FE1"/>
    <w:rsid w:val="00AC5E56"/>
    <w:rsid w:val="00AD1BF2"/>
    <w:rsid w:val="00AD34D5"/>
    <w:rsid w:val="00AE2D34"/>
    <w:rsid w:val="00AE472E"/>
    <w:rsid w:val="00AE7000"/>
    <w:rsid w:val="00AF46E2"/>
    <w:rsid w:val="00B002B4"/>
    <w:rsid w:val="00B12FB5"/>
    <w:rsid w:val="00B23BE6"/>
    <w:rsid w:val="00B32497"/>
    <w:rsid w:val="00B338CD"/>
    <w:rsid w:val="00B34C3E"/>
    <w:rsid w:val="00B35071"/>
    <w:rsid w:val="00B357D8"/>
    <w:rsid w:val="00B476C6"/>
    <w:rsid w:val="00B51FF2"/>
    <w:rsid w:val="00B57EC5"/>
    <w:rsid w:val="00B60CF9"/>
    <w:rsid w:val="00B61B32"/>
    <w:rsid w:val="00B62608"/>
    <w:rsid w:val="00B67116"/>
    <w:rsid w:val="00B672C6"/>
    <w:rsid w:val="00B70B46"/>
    <w:rsid w:val="00B73EEB"/>
    <w:rsid w:val="00B80B6F"/>
    <w:rsid w:val="00B82BDF"/>
    <w:rsid w:val="00BA4521"/>
    <w:rsid w:val="00BB4C02"/>
    <w:rsid w:val="00BC5E5E"/>
    <w:rsid w:val="00BD13DE"/>
    <w:rsid w:val="00BD4DE6"/>
    <w:rsid w:val="00BD671A"/>
    <w:rsid w:val="00BD6F72"/>
    <w:rsid w:val="00BF20F2"/>
    <w:rsid w:val="00BF3666"/>
    <w:rsid w:val="00BF4685"/>
    <w:rsid w:val="00BF5AF4"/>
    <w:rsid w:val="00C06871"/>
    <w:rsid w:val="00C07207"/>
    <w:rsid w:val="00C1411A"/>
    <w:rsid w:val="00C33EBF"/>
    <w:rsid w:val="00C40DB1"/>
    <w:rsid w:val="00C4676E"/>
    <w:rsid w:val="00C57F17"/>
    <w:rsid w:val="00C60412"/>
    <w:rsid w:val="00C64F25"/>
    <w:rsid w:val="00C76551"/>
    <w:rsid w:val="00C80379"/>
    <w:rsid w:val="00C82335"/>
    <w:rsid w:val="00C82A05"/>
    <w:rsid w:val="00C97635"/>
    <w:rsid w:val="00CA3775"/>
    <w:rsid w:val="00CB0BAA"/>
    <w:rsid w:val="00CB351D"/>
    <w:rsid w:val="00CB4D5D"/>
    <w:rsid w:val="00CB648C"/>
    <w:rsid w:val="00CC7AFA"/>
    <w:rsid w:val="00CD0AA1"/>
    <w:rsid w:val="00CD581C"/>
    <w:rsid w:val="00CE1625"/>
    <w:rsid w:val="00CE40F6"/>
    <w:rsid w:val="00CE6E05"/>
    <w:rsid w:val="00CF68DB"/>
    <w:rsid w:val="00CF7A61"/>
    <w:rsid w:val="00CF7D34"/>
    <w:rsid w:val="00D039A8"/>
    <w:rsid w:val="00D10D57"/>
    <w:rsid w:val="00D16F9D"/>
    <w:rsid w:val="00D17175"/>
    <w:rsid w:val="00D17217"/>
    <w:rsid w:val="00D249A7"/>
    <w:rsid w:val="00D6271C"/>
    <w:rsid w:val="00D701D3"/>
    <w:rsid w:val="00D85E17"/>
    <w:rsid w:val="00D86BAD"/>
    <w:rsid w:val="00D87250"/>
    <w:rsid w:val="00D914F1"/>
    <w:rsid w:val="00D957BD"/>
    <w:rsid w:val="00D963F4"/>
    <w:rsid w:val="00DA3A34"/>
    <w:rsid w:val="00DA431F"/>
    <w:rsid w:val="00DB30BA"/>
    <w:rsid w:val="00DB7168"/>
    <w:rsid w:val="00DC62E6"/>
    <w:rsid w:val="00DE7F19"/>
    <w:rsid w:val="00DF1137"/>
    <w:rsid w:val="00DF2746"/>
    <w:rsid w:val="00E04B01"/>
    <w:rsid w:val="00E070C5"/>
    <w:rsid w:val="00E13E31"/>
    <w:rsid w:val="00E20DCD"/>
    <w:rsid w:val="00E21579"/>
    <w:rsid w:val="00E23E79"/>
    <w:rsid w:val="00E244E0"/>
    <w:rsid w:val="00E255BA"/>
    <w:rsid w:val="00E31126"/>
    <w:rsid w:val="00E34DB9"/>
    <w:rsid w:val="00E351E8"/>
    <w:rsid w:val="00E52D0D"/>
    <w:rsid w:val="00E54338"/>
    <w:rsid w:val="00E66ECE"/>
    <w:rsid w:val="00E72937"/>
    <w:rsid w:val="00E730F5"/>
    <w:rsid w:val="00E74C57"/>
    <w:rsid w:val="00E767EA"/>
    <w:rsid w:val="00EC21D2"/>
    <w:rsid w:val="00EC7D1E"/>
    <w:rsid w:val="00ED4CD9"/>
    <w:rsid w:val="00F00429"/>
    <w:rsid w:val="00F00F0F"/>
    <w:rsid w:val="00F05E92"/>
    <w:rsid w:val="00F27DEE"/>
    <w:rsid w:val="00F34921"/>
    <w:rsid w:val="00F369C8"/>
    <w:rsid w:val="00F53545"/>
    <w:rsid w:val="00F549D4"/>
    <w:rsid w:val="00F6668E"/>
    <w:rsid w:val="00F6730B"/>
    <w:rsid w:val="00F702FC"/>
    <w:rsid w:val="00F7402A"/>
    <w:rsid w:val="00FA3A4B"/>
    <w:rsid w:val="00FB5772"/>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992426D2-222D-4C66-A5C2-51BCBB4E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3043886">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23287522">
      <w:bodyDiv w:val="1"/>
      <w:marLeft w:val="0"/>
      <w:marRight w:val="0"/>
      <w:marTop w:val="0"/>
      <w:marBottom w:val="0"/>
      <w:divBdr>
        <w:top w:val="none" w:sz="0" w:space="0" w:color="auto"/>
        <w:left w:val="none" w:sz="0" w:space="0" w:color="auto"/>
        <w:bottom w:val="none" w:sz="0" w:space="0" w:color="auto"/>
        <w:right w:val="none" w:sz="0" w:space="0" w:color="auto"/>
      </w:divBdr>
    </w:div>
    <w:div w:id="29962238">
      <w:bodyDiv w:val="1"/>
      <w:marLeft w:val="0"/>
      <w:marRight w:val="0"/>
      <w:marTop w:val="0"/>
      <w:marBottom w:val="0"/>
      <w:divBdr>
        <w:top w:val="none" w:sz="0" w:space="0" w:color="auto"/>
        <w:left w:val="none" w:sz="0" w:space="0" w:color="auto"/>
        <w:bottom w:val="none" w:sz="0" w:space="0" w:color="auto"/>
        <w:right w:val="none" w:sz="0" w:space="0" w:color="auto"/>
      </w:divBdr>
    </w:div>
    <w:div w:id="30766641">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1196516">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7903998">
      <w:bodyDiv w:val="1"/>
      <w:marLeft w:val="0"/>
      <w:marRight w:val="0"/>
      <w:marTop w:val="0"/>
      <w:marBottom w:val="0"/>
      <w:divBdr>
        <w:top w:val="none" w:sz="0" w:space="0" w:color="auto"/>
        <w:left w:val="none" w:sz="0" w:space="0" w:color="auto"/>
        <w:bottom w:val="none" w:sz="0" w:space="0" w:color="auto"/>
        <w:right w:val="none" w:sz="0" w:space="0" w:color="auto"/>
      </w:divBdr>
    </w:div>
    <w:div w:id="4229298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49962623">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2779579">
      <w:bodyDiv w:val="1"/>
      <w:marLeft w:val="0"/>
      <w:marRight w:val="0"/>
      <w:marTop w:val="0"/>
      <w:marBottom w:val="0"/>
      <w:divBdr>
        <w:top w:val="none" w:sz="0" w:space="0" w:color="auto"/>
        <w:left w:val="none" w:sz="0" w:space="0" w:color="auto"/>
        <w:bottom w:val="none" w:sz="0" w:space="0" w:color="auto"/>
        <w:right w:val="none" w:sz="0" w:space="0" w:color="auto"/>
      </w:divBdr>
    </w:div>
    <w:div w:id="53284835">
      <w:bodyDiv w:val="1"/>
      <w:marLeft w:val="0"/>
      <w:marRight w:val="0"/>
      <w:marTop w:val="0"/>
      <w:marBottom w:val="0"/>
      <w:divBdr>
        <w:top w:val="none" w:sz="0" w:space="0" w:color="auto"/>
        <w:left w:val="none" w:sz="0" w:space="0" w:color="auto"/>
        <w:bottom w:val="none" w:sz="0" w:space="0" w:color="auto"/>
        <w:right w:val="none" w:sz="0" w:space="0" w:color="auto"/>
      </w:divBdr>
    </w:div>
    <w:div w:id="56438260">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3551032">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83384901">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7870499">
      <w:bodyDiv w:val="1"/>
      <w:marLeft w:val="0"/>
      <w:marRight w:val="0"/>
      <w:marTop w:val="0"/>
      <w:marBottom w:val="0"/>
      <w:divBdr>
        <w:top w:val="none" w:sz="0" w:space="0" w:color="auto"/>
        <w:left w:val="none" w:sz="0" w:space="0" w:color="auto"/>
        <w:bottom w:val="none" w:sz="0" w:space="0" w:color="auto"/>
        <w:right w:val="none" w:sz="0" w:space="0" w:color="auto"/>
      </w:divBdr>
      <w:divsChild>
        <w:div w:id="99574626">
          <w:marLeft w:val="0"/>
          <w:marRight w:val="0"/>
          <w:marTop w:val="0"/>
          <w:marBottom w:val="0"/>
          <w:divBdr>
            <w:top w:val="none" w:sz="0" w:space="0" w:color="auto"/>
            <w:left w:val="none" w:sz="0" w:space="0" w:color="auto"/>
            <w:bottom w:val="none" w:sz="0" w:space="0" w:color="auto"/>
            <w:right w:val="none" w:sz="0" w:space="0" w:color="auto"/>
          </w:divBdr>
          <w:divsChild>
            <w:div w:id="1957251954">
              <w:marLeft w:val="0"/>
              <w:marRight w:val="0"/>
              <w:marTop w:val="0"/>
              <w:marBottom w:val="240"/>
              <w:divBdr>
                <w:top w:val="none" w:sz="0" w:space="0" w:color="auto"/>
                <w:left w:val="none" w:sz="0" w:space="0" w:color="auto"/>
                <w:bottom w:val="none" w:sz="0" w:space="0" w:color="auto"/>
                <w:right w:val="none" w:sz="0" w:space="0" w:color="auto"/>
              </w:divBdr>
            </w:div>
          </w:divsChild>
        </w:div>
        <w:div w:id="671760770">
          <w:marLeft w:val="0"/>
          <w:marRight w:val="0"/>
          <w:marTop w:val="0"/>
          <w:marBottom w:val="0"/>
          <w:divBdr>
            <w:top w:val="none" w:sz="0" w:space="0" w:color="auto"/>
            <w:left w:val="none" w:sz="0" w:space="0" w:color="auto"/>
            <w:bottom w:val="none" w:sz="0" w:space="0" w:color="auto"/>
            <w:right w:val="none" w:sz="0" w:space="0" w:color="auto"/>
          </w:divBdr>
          <w:divsChild>
            <w:div w:id="1072629408">
              <w:marLeft w:val="0"/>
              <w:marRight w:val="0"/>
              <w:marTop w:val="0"/>
              <w:marBottom w:val="240"/>
              <w:divBdr>
                <w:top w:val="none" w:sz="0" w:space="0" w:color="auto"/>
                <w:left w:val="none" w:sz="0" w:space="0" w:color="auto"/>
                <w:bottom w:val="none" w:sz="0" w:space="0" w:color="auto"/>
                <w:right w:val="none" w:sz="0" w:space="0" w:color="auto"/>
              </w:divBdr>
            </w:div>
          </w:divsChild>
        </w:div>
        <w:div w:id="925768959">
          <w:marLeft w:val="0"/>
          <w:marRight w:val="0"/>
          <w:marTop w:val="0"/>
          <w:marBottom w:val="0"/>
          <w:divBdr>
            <w:top w:val="none" w:sz="0" w:space="0" w:color="auto"/>
            <w:left w:val="none" w:sz="0" w:space="0" w:color="auto"/>
            <w:bottom w:val="none" w:sz="0" w:space="0" w:color="auto"/>
            <w:right w:val="none" w:sz="0" w:space="0" w:color="auto"/>
          </w:divBdr>
          <w:divsChild>
            <w:div w:id="375929021">
              <w:marLeft w:val="0"/>
              <w:marRight w:val="0"/>
              <w:marTop w:val="0"/>
              <w:marBottom w:val="240"/>
              <w:divBdr>
                <w:top w:val="none" w:sz="0" w:space="0" w:color="auto"/>
                <w:left w:val="none" w:sz="0" w:space="0" w:color="auto"/>
                <w:bottom w:val="none" w:sz="0" w:space="0" w:color="auto"/>
                <w:right w:val="none" w:sz="0" w:space="0" w:color="auto"/>
              </w:divBdr>
            </w:div>
          </w:divsChild>
        </w:div>
        <w:div w:id="1663266484">
          <w:marLeft w:val="0"/>
          <w:marRight w:val="0"/>
          <w:marTop w:val="0"/>
          <w:marBottom w:val="0"/>
          <w:divBdr>
            <w:top w:val="none" w:sz="0" w:space="0" w:color="auto"/>
            <w:left w:val="none" w:sz="0" w:space="0" w:color="auto"/>
            <w:bottom w:val="none" w:sz="0" w:space="0" w:color="auto"/>
            <w:right w:val="none" w:sz="0" w:space="0" w:color="auto"/>
          </w:divBdr>
          <w:divsChild>
            <w:div w:id="998994724">
              <w:marLeft w:val="0"/>
              <w:marRight w:val="0"/>
              <w:marTop w:val="0"/>
              <w:marBottom w:val="240"/>
              <w:divBdr>
                <w:top w:val="none" w:sz="0" w:space="0" w:color="auto"/>
                <w:left w:val="none" w:sz="0" w:space="0" w:color="auto"/>
                <w:bottom w:val="none" w:sz="0" w:space="0" w:color="auto"/>
                <w:right w:val="none" w:sz="0" w:space="0" w:color="auto"/>
              </w:divBdr>
            </w:div>
          </w:divsChild>
        </w:div>
        <w:div w:id="2029139291">
          <w:marLeft w:val="0"/>
          <w:marRight w:val="0"/>
          <w:marTop w:val="0"/>
          <w:marBottom w:val="0"/>
          <w:divBdr>
            <w:top w:val="none" w:sz="0" w:space="0" w:color="auto"/>
            <w:left w:val="none" w:sz="0" w:space="0" w:color="auto"/>
            <w:bottom w:val="none" w:sz="0" w:space="0" w:color="auto"/>
            <w:right w:val="none" w:sz="0" w:space="0" w:color="auto"/>
          </w:divBdr>
          <w:divsChild>
            <w:div w:id="57898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643834">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05274182">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21119058">
      <w:bodyDiv w:val="1"/>
      <w:marLeft w:val="0"/>
      <w:marRight w:val="0"/>
      <w:marTop w:val="0"/>
      <w:marBottom w:val="0"/>
      <w:divBdr>
        <w:top w:val="none" w:sz="0" w:space="0" w:color="auto"/>
        <w:left w:val="none" w:sz="0" w:space="0" w:color="auto"/>
        <w:bottom w:val="none" w:sz="0" w:space="0" w:color="auto"/>
        <w:right w:val="none" w:sz="0" w:space="0" w:color="auto"/>
      </w:divBdr>
    </w:div>
    <w:div w:id="125589396">
      <w:bodyDiv w:val="1"/>
      <w:marLeft w:val="0"/>
      <w:marRight w:val="0"/>
      <w:marTop w:val="0"/>
      <w:marBottom w:val="0"/>
      <w:divBdr>
        <w:top w:val="none" w:sz="0" w:space="0" w:color="auto"/>
        <w:left w:val="none" w:sz="0" w:space="0" w:color="auto"/>
        <w:bottom w:val="none" w:sz="0" w:space="0" w:color="auto"/>
        <w:right w:val="none" w:sz="0" w:space="0" w:color="auto"/>
      </w:divBdr>
      <w:divsChild>
        <w:div w:id="971907331">
          <w:marLeft w:val="0"/>
          <w:marRight w:val="0"/>
          <w:marTop w:val="0"/>
          <w:marBottom w:val="0"/>
          <w:divBdr>
            <w:top w:val="none" w:sz="0" w:space="0" w:color="auto"/>
            <w:left w:val="none" w:sz="0" w:space="0" w:color="auto"/>
            <w:bottom w:val="none" w:sz="0" w:space="0" w:color="auto"/>
            <w:right w:val="none" w:sz="0" w:space="0" w:color="auto"/>
          </w:divBdr>
        </w:div>
      </w:divsChild>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27404769">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2335584">
      <w:bodyDiv w:val="1"/>
      <w:marLeft w:val="0"/>
      <w:marRight w:val="0"/>
      <w:marTop w:val="0"/>
      <w:marBottom w:val="0"/>
      <w:divBdr>
        <w:top w:val="none" w:sz="0" w:space="0" w:color="auto"/>
        <w:left w:val="none" w:sz="0" w:space="0" w:color="auto"/>
        <w:bottom w:val="none" w:sz="0" w:space="0" w:color="auto"/>
        <w:right w:val="none" w:sz="0" w:space="0" w:color="auto"/>
      </w:divBdr>
    </w:div>
    <w:div w:id="133570159">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4957994">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81667796">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160534428">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sChild>
    </w:div>
    <w:div w:id="151144127">
      <w:bodyDiv w:val="1"/>
      <w:marLeft w:val="0"/>
      <w:marRight w:val="0"/>
      <w:marTop w:val="0"/>
      <w:marBottom w:val="0"/>
      <w:divBdr>
        <w:top w:val="none" w:sz="0" w:space="0" w:color="auto"/>
        <w:left w:val="none" w:sz="0" w:space="0" w:color="auto"/>
        <w:bottom w:val="none" w:sz="0" w:space="0" w:color="auto"/>
        <w:right w:val="none" w:sz="0" w:space="0" w:color="auto"/>
      </w:divBdr>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4152312">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58274558">
      <w:bodyDiv w:val="1"/>
      <w:marLeft w:val="0"/>
      <w:marRight w:val="0"/>
      <w:marTop w:val="0"/>
      <w:marBottom w:val="0"/>
      <w:divBdr>
        <w:top w:val="none" w:sz="0" w:space="0" w:color="auto"/>
        <w:left w:val="none" w:sz="0" w:space="0" w:color="auto"/>
        <w:bottom w:val="none" w:sz="0" w:space="0" w:color="auto"/>
        <w:right w:val="none" w:sz="0" w:space="0" w:color="auto"/>
      </w:divBdr>
      <w:divsChild>
        <w:div w:id="1118570633">
          <w:marLeft w:val="0"/>
          <w:marRight w:val="0"/>
          <w:marTop w:val="0"/>
          <w:marBottom w:val="0"/>
          <w:divBdr>
            <w:top w:val="none" w:sz="0" w:space="0" w:color="auto"/>
            <w:left w:val="none" w:sz="0" w:space="0" w:color="auto"/>
            <w:bottom w:val="none" w:sz="0" w:space="0" w:color="auto"/>
            <w:right w:val="none" w:sz="0" w:space="0" w:color="auto"/>
          </w:divBdr>
        </w:div>
      </w:divsChild>
    </w:div>
    <w:div w:id="161048938">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0460289">
      <w:bodyDiv w:val="1"/>
      <w:marLeft w:val="0"/>
      <w:marRight w:val="0"/>
      <w:marTop w:val="0"/>
      <w:marBottom w:val="0"/>
      <w:divBdr>
        <w:top w:val="none" w:sz="0" w:space="0" w:color="auto"/>
        <w:left w:val="none" w:sz="0" w:space="0" w:color="auto"/>
        <w:bottom w:val="none" w:sz="0" w:space="0" w:color="auto"/>
        <w:right w:val="none" w:sz="0" w:space="0" w:color="auto"/>
      </w:divBdr>
    </w:div>
    <w:div w:id="172064591">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75730804">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191918096">
      <w:bodyDiv w:val="1"/>
      <w:marLeft w:val="0"/>
      <w:marRight w:val="0"/>
      <w:marTop w:val="0"/>
      <w:marBottom w:val="0"/>
      <w:divBdr>
        <w:top w:val="none" w:sz="0" w:space="0" w:color="auto"/>
        <w:left w:val="none" w:sz="0" w:space="0" w:color="auto"/>
        <w:bottom w:val="none" w:sz="0" w:space="0" w:color="auto"/>
        <w:right w:val="none" w:sz="0" w:space="0" w:color="auto"/>
      </w:divBdr>
    </w:div>
    <w:div w:id="194008752">
      <w:bodyDiv w:val="1"/>
      <w:marLeft w:val="0"/>
      <w:marRight w:val="0"/>
      <w:marTop w:val="0"/>
      <w:marBottom w:val="0"/>
      <w:divBdr>
        <w:top w:val="none" w:sz="0" w:space="0" w:color="auto"/>
        <w:left w:val="none" w:sz="0" w:space="0" w:color="auto"/>
        <w:bottom w:val="none" w:sz="0" w:space="0" w:color="auto"/>
        <w:right w:val="none" w:sz="0" w:space="0" w:color="auto"/>
      </w:divBdr>
    </w:div>
    <w:div w:id="200096140">
      <w:bodyDiv w:val="1"/>
      <w:marLeft w:val="0"/>
      <w:marRight w:val="0"/>
      <w:marTop w:val="0"/>
      <w:marBottom w:val="0"/>
      <w:divBdr>
        <w:top w:val="none" w:sz="0" w:space="0" w:color="auto"/>
        <w:left w:val="none" w:sz="0" w:space="0" w:color="auto"/>
        <w:bottom w:val="none" w:sz="0" w:space="0" w:color="auto"/>
        <w:right w:val="none" w:sz="0" w:space="0" w:color="auto"/>
      </w:divBdr>
      <w:divsChild>
        <w:div w:id="1294677660">
          <w:marLeft w:val="0"/>
          <w:marRight w:val="0"/>
          <w:marTop w:val="0"/>
          <w:marBottom w:val="0"/>
          <w:divBdr>
            <w:top w:val="none" w:sz="0" w:space="0" w:color="auto"/>
            <w:left w:val="none" w:sz="0" w:space="0" w:color="auto"/>
            <w:bottom w:val="none" w:sz="0" w:space="0" w:color="auto"/>
            <w:right w:val="none" w:sz="0" w:space="0" w:color="auto"/>
          </w:divBdr>
        </w:div>
      </w:divsChild>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5680679">
      <w:bodyDiv w:val="1"/>
      <w:marLeft w:val="0"/>
      <w:marRight w:val="0"/>
      <w:marTop w:val="0"/>
      <w:marBottom w:val="0"/>
      <w:divBdr>
        <w:top w:val="none" w:sz="0" w:space="0" w:color="auto"/>
        <w:left w:val="none" w:sz="0" w:space="0" w:color="auto"/>
        <w:bottom w:val="none" w:sz="0" w:space="0" w:color="auto"/>
        <w:right w:val="none" w:sz="0" w:space="0" w:color="auto"/>
      </w:divBdr>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3905">
      <w:bodyDiv w:val="1"/>
      <w:marLeft w:val="0"/>
      <w:marRight w:val="0"/>
      <w:marTop w:val="0"/>
      <w:marBottom w:val="0"/>
      <w:divBdr>
        <w:top w:val="none" w:sz="0" w:space="0" w:color="auto"/>
        <w:left w:val="none" w:sz="0" w:space="0" w:color="auto"/>
        <w:bottom w:val="none" w:sz="0" w:space="0" w:color="auto"/>
        <w:right w:val="none" w:sz="0" w:space="0" w:color="auto"/>
      </w:divBdr>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12659409">
          <w:marLeft w:val="0"/>
          <w:marRight w:val="0"/>
          <w:marTop w:val="0"/>
          <w:marBottom w:val="0"/>
          <w:divBdr>
            <w:top w:val="none" w:sz="0" w:space="0" w:color="auto"/>
            <w:left w:val="none" w:sz="0" w:space="0" w:color="auto"/>
            <w:bottom w:val="none" w:sz="0" w:space="0" w:color="auto"/>
            <w:right w:val="none" w:sz="0" w:space="0" w:color="auto"/>
          </w:divBdr>
          <w:divsChild>
            <w:div w:id="380594622">
              <w:marLeft w:val="0"/>
              <w:marRight w:val="0"/>
              <w:marTop w:val="0"/>
              <w:marBottom w:val="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 w:id="946547325">
              <w:marLeft w:val="0"/>
              <w:marRight w:val="0"/>
              <w:marTop w:val="0"/>
              <w:marBottom w:val="48"/>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sChild>
        </w:div>
        <w:div w:id="500775441">
          <w:marLeft w:val="0"/>
          <w:marRight w:val="0"/>
          <w:marTop w:val="0"/>
          <w:marBottom w:val="0"/>
          <w:divBdr>
            <w:top w:val="none" w:sz="0" w:space="0" w:color="auto"/>
            <w:left w:val="none" w:sz="0" w:space="0" w:color="auto"/>
            <w:bottom w:val="none" w:sz="0" w:space="0" w:color="auto"/>
            <w:right w:val="none" w:sz="0" w:space="0" w:color="auto"/>
          </w:divBdr>
        </w:div>
        <w:div w:id="686251226">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811481195">
              <w:marLeft w:val="0"/>
              <w:marRight w:val="0"/>
              <w:marTop w:val="0"/>
              <w:marBottom w:val="48"/>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7324919">
      <w:bodyDiv w:val="1"/>
      <w:marLeft w:val="0"/>
      <w:marRight w:val="0"/>
      <w:marTop w:val="0"/>
      <w:marBottom w:val="0"/>
      <w:divBdr>
        <w:top w:val="none" w:sz="0" w:space="0" w:color="auto"/>
        <w:left w:val="none" w:sz="0" w:space="0" w:color="auto"/>
        <w:bottom w:val="none" w:sz="0" w:space="0" w:color="auto"/>
        <w:right w:val="none" w:sz="0" w:space="0" w:color="auto"/>
      </w:divBdr>
    </w:div>
    <w:div w:id="223372207">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29275257">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3008782">
      <w:bodyDiv w:val="1"/>
      <w:marLeft w:val="0"/>
      <w:marRight w:val="0"/>
      <w:marTop w:val="0"/>
      <w:marBottom w:val="0"/>
      <w:divBdr>
        <w:top w:val="none" w:sz="0" w:space="0" w:color="auto"/>
        <w:left w:val="none" w:sz="0" w:space="0" w:color="auto"/>
        <w:bottom w:val="none" w:sz="0" w:space="0" w:color="auto"/>
        <w:right w:val="none" w:sz="0" w:space="0" w:color="auto"/>
      </w:divBdr>
      <w:divsChild>
        <w:div w:id="140386339">
          <w:marLeft w:val="0"/>
          <w:marRight w:val="0"/>
          <w:marTop w:val="0"/>
          <w:marBottom w:val="0"/>
          <w:divBdr>
            <w:top w:val="none" w:sz="0" w:space="0" w:color="auto"/>
            <w:left w:val="none" w:sz="0" w:space="0" w:color="auto"/>
            <w:bottom w:val="none" w:sz="0" w:space="0" w:color="auto"/>
            <w:right w:val="none" w:sz="0" w:space="0" w:color="auto"/>
          </w:divBdr>
        </w:div>
        <w:div w:id="1627393362">
          <w:marLeft w:val="0"/>
          <w:marRight w:val="0"/>
          <w:marTop w:val="0"/>
          <w:marBottom w:val="0"/>
          <w:divBdr>
            <w:top w:val="none" w:sz="0" w:space="0" w:color="auto"/>
            <w:left w:val="none" w:sz="0" w:space="0" w:color="auto"/>
            <w:bottom w:val="none" w:sz="0" w:space="0" w:color="auto"/>
            <w:right w:val="none" w:sz="0" w:space="0" w:color="auto"/>
          </w:divBdr>
          <w:divsChild>
            <w:div w:id="968822701">
              <w:marLeft w:val="0"/>
              <w:marRight w:val="0"/>
              <w:marTop w:val="0"/>
              <w:marBottom w:val="0"/>
              <w:divBdr>
                <w:top w:val="none" w:sz="0" w:space="0" w:color="auto"/>
                <w:left w:val="none" w:sz="0" w:space="0" w:color="auto"/>
                <w:bottom w:val="none" w:sz="0" w:space="0" w:color="auto"/>
                <w:right w:val="none" w:sz="0" w:space="0" w:color="auto"/>
              </w:divBdr>
            </w:div>
            <w:div w:id="1012954116">
              <w:marLeft w:val="0"/>
              <w:marRight w:val="0"/>
              <w:marTop w:val="0"/>
              <w:marBottom w:val="48"/>
              <w:divBdr>
                <w:top w:val="none" w:sz="0" w:space="0" w:color="auto"/>
                <w:left w:val="none" w:sz="0" w:space="0" w:color="auto"/>
                <w:bottom w:val="none" w:sz="0" w:space="0" w:color="auto"/>
                <w:right w:val="none" w:sz="0" w:space="0" w:color="auto"/>
              </w:divBdr>
            </w:div>
            <w:div w:id="1249075739">
              <w:marLeft w:val="0"/>
              <w:marRight w:val="0"/>
              <w:marTop w:val="0"/>
              <w:marBottom w:val="12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 w:id="1593926952">
              <w:marLeft w:val="0"/>
              <w:marRight w:val="0"/>
              <w:marTop w:val="0"/>
              <w:marBottom w:val="180"/>
              <w:divBdr>
                <w:top w:val="none" w:sz="0" w:space="0" w:color="auto"/>
                <w:left w:val="none" w:sz="0" w:space="0" w:color="auto"/>
                <w:bottom w:val="none" w:sz="0" w:space="0" w:color="auto"/>
                <w:right w:val="none" w:sz="0" w:space="0" w:color="auto"/>
              </w:divBdr>
            </w:div>
          </w:divsChild>
        </w:div>
        <w:div w:id="1851489072">
          <w:marLeft w:val="0"/>
          <w:marRight w:val="0"/>
          <w:marTop w:val="0"/>
          <w:marBottom w:val="0"/>
          <w:divBdr>
            <w:top w:val="none" w:sz="0" w:space="0" w:color="auto"/>
            <w:left w:val="none" w:sz="0" w:space="0" w:color="auto"/>
            <w:bottom w:val="none" w:sz="0" w:space="0" w:color="auto"/>
            <w:right w:val="none" w:sz="0" w:space="0" w:color="auto"/>
          </w:divBdr>
          <w:divsChild>
            <w:div w:id="283344192">
              <w:marLeft w:val="0"/>
              <w:marRight w:val="0"/>
              <w:marTop w:val="0"/>
              <w:marBottom w:val="0"/>
              <w:divBdr>
                <w:top w:val="none" w:sz="0" w:space="0" w:color="auto"/>
                <w:left w:val="none" w:sz="0" w:space="0" w:color="auto"/>
                <w:bottom w:val="none" w:sz="0" w:space="0" w:color="auto"/>
                <w:right w:val="none" w:sz="0" w:space="0" w:color="auto"/>
              </w:divBdr>
            </w:div>
            <w:div w:id="657198603">
              <w:marLeft w:val="0"/>
              <w:marRight w:val="0"/>
              <w:marTop w:val="0"/>
              <w:marBottom w:val="120"/>
              <w:divBdr>
                <w:top w:val="none" w:sz="0" w:space="0" w:color="auto"/>
                <w:left w:val="none" w:sz="0" w:space="0" w:color="auto"/>
                <w:bottom w:val="none" w:sz="0" w:space="0" w:color="auto"/>
                <w:right w:val="none" w:sz="0" w:space="0" w:color="auto"/>
              </w:divBdr>
            </w:div>
            <w:div w:id="949355918">
              <w:marLeft w:val="0"/>
              <w:marRight w:val="0"/>
              <w:marTop w:val="0"/>
              <w:marBottom w:val="0"/>
              <w:divBdr>
                <w:top w:val="none" w:sz="0" w:space="0" w:color="auto"/>
                <w:left w:val="none" w:sz="0" w:space="0" w:color="auto"/>
                <w:bottom w:val="none" w:sz="0" w:space="0" w:color="auto"/>
                <w:right w:val="none" w:sz="0" w:space="0" w:color="auto"/>
              </w:divBdr>
            </w:div>
            <w:div w:id="965696946">
              <w:marLeft w:val="0"/>
              <w:marRight w:val="0"/>
              <w:marTop w:val="0"/>
              <w:marBottom w:val="180"/>
              <w:divBdr>
                <w:top w:val="none" w:sz="0" w:space="0" w:color="auto"/>
                <w:left w:val="none" w:sz="0" w:space="0" w:color="auto"/>
                <w:bottom w:val="none" w:sz="0" w:space="0" w:color="auto"/>
                <w:right w:val="none" w:sz="0" w:space="0" w:color="auto"/>
              </w:divBdr>
            </w:div>
            <w:div w:id="1035541858">
              <w:marLeft w:val="0"/>
              <w:marRight w:val="0"/>
              <w:marTop w:val="0"/>
              <w:marBottom w:val="0"/>
              <w:divBdr>
                <w:top w:val="none" w:sz="0" w:space="0" w:color="auto"/>
                <w:left w:val="none" w:sz="0" w:space="0" w:color="auto"/>
                <w:bottom w:val="none" w:sz="0" w:space="0" w:color="auto"/>
                <w:right w:val="none" w:sz="0" w:space="0" w:color="auto"/>
              </w:divBdr>
            </w:div>
            <w:div w:id="1082995508">
              <w:marLeft w:val="0"/>
              <w:marRight w:val="0"/>
              <w:marTop w:val="0"/>
              <w:marBottom w:val="0"/>
              <w:divBdr>
                <w:top w:val="none" w:sz="0" w:space="0" w:color="auto"/>
                <w:left w:val="none" w:sz="0" w:space="0" w:color="auto"/>
                <w:bottom w:val="none" w:sz="0" w:space="0" w:color="auto"/>
                <w:right w:val="none" w:sz="0" w:space="0" w:color="auto"/>
              </w:divBdr>
              <w:divsChild>
                <w:div w:id="126171295">
                  <w:marLeft w:val="0"/>
                  <w:marRight w:val="0"/>
                  <w:marTop w:val="0"/>
                  <w:marBottom w:val="0"/>
                  <w:divBdr>
                    <w:top w:val="none" w:sz="0" w:space="0" w:color="auto"/>
                    <w:left w:val="none" w:sz="0" w:space="0" w:color="auto"/>
                    <w:bottom w:val="none" w:sz="0" w:space="0" w:color="auto"/>
                    <w:right w:val="none" w:sz="0" w:space="0" w:color="auto"/>
                  </w:divBdr>
                  <w:divsChild>
                    <w:div w:id="486091538">
                      <w:marLeft w:val="0"/>
                      <w:marRight w:val="0"/>
                      <w:marTop w:val="0"/>
                      <w:marBottom w:val="0"/>
                      <w:divBdr>
                        <w:top w:val="none" w:sz="0" w:space="0" w:color="auto"/>
                        <w:left w:val="none" w:sz="0" w:space="0" w:color="auto"/>
                        <w:bottom w:val="none" w:sz="0" w:space="0" w:color="auto"/>
                        <w:right w:val="none" w:sz="0" w:space="0" w:color="auto"/>
                      </w:divBdr>
                    </w:div>
                    <w:div w:id="1564751529">
                      <w:marLeft w:val="0"/>
                      <w:marRight w:val="0"/>
                      <w:marTop w:val="0"/>
                      <w:marBottom w:val="0"/>
                      <w:divBdr>
                        <w:top w:val="none" w:sz="0" w:space="0" w:color="auto"/>
                        <w:left w:val="none" w:sz="0" w:space="0" w:color="auto"/>
                        <w:bottom w:val="none" w:sz="0" w:space="0" w:color="auto"/>
                        <w:right w:val="none" w:sz="0" w:space="0" w:color="auto"/>
                      </w:divBdr>
                      <w:divsChild>
                        <w:div w:id="119882969">
                          <w:marLeft w:val="0"/>
                          <w:marRight w:val="0"/>
                          <w:marTop w:val="0"/>
                          <w:marBottom w:val="0"/>
                          <w:divBdr>
                            <w:top w:val="none" w:sz="0" w:space="0" w:color="auto"/>
                            <w:left w:val="none" w:sz="0" w:space="0" w:color="auto"/>
                            <w:bottom w:val="none" w:sz="0" w:space="0" w:color="auto"/>
                            <w:right w:val="none" w:sz="0" w:space="0" w:color="auto"/>
                          </w:divBdr>
                        </w:div>
                        <w:div w:id="399711598">
                          <w:marLeft w:val="0"/>
                          <w:marRight w:val="0"/>
                          <w:marTop w:val="0"/>
                          <w:marBottom w:val="120"/>
                          <w:divBdr>
                            <w:top w:val="none" w:sz="0" w:space="0" w:color="auto"/>
                            <w:left w:val="none" w:sz="0" w:space="0" w:color="auto"/>
                            <w:bottom w:val="none" w:sz="0" w:space="0" w:color="auto"/>
                            <w:right w:val="none" w:sz="0" w:space="0" w:color="auto"/>
                          </w:divBdr>
                          <w:divsChild>
                            <w:div w:id="1841193685">
                              <w:marLeft w:val="0"/>
                              <w:marRight w:val="0"/>
                              <w:marTop w:val="0"/>
                              <w:marBottom w:val="72"/>
                              <w:divBdr>
                                <w:top w:val="none" w:sz="0" w:space="0" w:color="auto"/>
                                <w:left w:val="none" w:sz="0" w:space="0" w:color="auto"/>
                                <w:bottom w:val="none" w:sz="0" w:space="0" w:color="auto"/>
                                <w:right w:val="none" w:sz="0" w:space="0" w:color="auto"/>
                              </w:divBdr>
                            </w:div>
                          </w:divsChild>
                        </w:div>
                        <w:div w:id="593632509">
                          <w:marLeft w:val="0"/>
                          <w:marRight w:val="0"/>
                          <w:marTop w:val="0"/>
                          <w:marBottom w:val="48"/>
                          <w:divBdr>
                            <w:top w:val="none" w:sz="0" w:space="0" w:color="auto"/>
                            <w:left w:val="none" w:sz="0" w:space="0" w:color="auto"/>
                            <w:bottom w:val="none" w:sz="0" w:space="0" w:color="auto"/>
                            <w:right w:val="none" w:sz="0" w:space="0" w:color="auto"/>
                          </w:divBdr>
                        </w:div>
                        <w:div w:id="885141577">
                          <w:marLeft w:val="0"/>
                          <w:marRight w:val="0"/>
                          <w:marTop w:val="0"/>
                          <w:marBottom w:val="0"/>
                          <w:divBdr>
                            <w:top w:val="none" w:sz="0" w:space="0" w:color="auto"/>
                            <w:left w:val="none" w:sz="0" w:space="0" w:color="auto"/>
                            <w:bottom w:val="none" w:sz="0" w:space="0" w:color="auto"/>
                            <w:right w:val="none" w:sz="0" w:space="0" w:color="auto"/>
                          </w:divBdr>
                        </w:div>
                        <w:div w:id="1027220821">
                          <w:marLeft w:val="0"/>
                          <w:marRight w:val="0"/>
                          <w:marTop w:val="0"/>
                          <w:marBottom w:val="0"/>
                          <w:divBdr>
                            <w:top w:val="none" w:sz="0" w:space="0" w:color="auto"/>
                            <w:left w:val="none" w:sz="0" w:space="0" w:color="auto"/>
                            <w:bottom w:val="none" w:sz="0" w:space="0" w:color="auto"/>
                            <w:right w:val="none" w:sz="0" w:space="0" w:color="auto"/>
                          </w:divBdr>
                        </w:div>
                        <w:div w:id="1175337579">
                          <w:marLeft w:val="0"/>
                          <w:marRight w:val="0"/>
                          <w:marTop w:val="0"/>
                          <w:marBottom w:val="0"/>
                          <w:divBdr>
                            <w:top w:val="none" w:sz="0" w:space="0" w:color="auto"/>
                            <w:left w:val="none" w:sz="0" w:space="0" w:color="auto"/>
                            <w:bottom w:val="none" w:sz="0" w:space="0" w:color="auto"/>
                            <w:right w:val="none" w:sz="0" w:space="0" w:color="auto"/>
                          </w:divBdr>
                        </w:div>
                        <w:div w:id="1790975136">
                          <w:marLeft w:val="0"/>
                          <w:marRight w:val="0"/>
                          <w:marTop w:val="0"/>
                          <w:marBottom w:val="180"/>
                          <w:divBdr>
                            <w:top w:val="none" w:sz="0" w:space="0" w:color="auto"/>
                            <w:left w:val="none" w:sz="0" w:space="0" w:color="auto"/>
                            <w:bottom w:val="none" w:sz="0" w:space="0" w:color="auto"/>
                            <w:right w:val="none" w:sz="0" w:space="0" w:color="auto"/>
                          </w:divBdr>
                        </w:div>
                      </w:divsChild>
                    </w:div>
                    <w:div w:id="2083671510">
                      <w:marLeft w:val="0"/>
                      <w:marRight w:val="0"/>
                      <w:marTop w:val="0"/>
                      <w:marBottom w:val="120"/>
                      <w:divBdr>
                        <w:top w:val="none" w:sz="0" w:space="0" w:color="auto"/>
                        <w:left w:val="none" w:sz="0" w:space="0" w:color="auto"/>
                        <w:bottom w:val="none" w:sz="0" w:space="0" w:color="auto"/>
                        <w:right w:val="none" w:sz="0" w:space="0" w:color="auto"/>
                      </w:divBdr>
                    </w:div>
                  </w:divsChild>
                </w:div>
                <w:div w:id="747116945">
                  <w:marLeft w:val="0"/>
                  <w:marRight w:val="0"/>
                  <w:marTop w:val="0"/>
                  <w:marBottom w:val="48"/>
                  <w:divBdr>
                    <w:top w:val="none" w:sz="0" w:space="0" w:color="auto"/>
                    <w:left w:val="none" w:sz="0" w:space="0" w:color="auto"/>
                    <w:bottom w:val="none" w:sz="0" w:space="0" w:color="auto"/>
                    <w:right w:val="none" w:sz="0" w:space="0" w:color="auto"/>
                  </w:divBdr>
                </w:div>
                <w:div w:id="1233347781">
                  <w:marLeft w:val="0"/>
                  <w:marRight w:val="0"/>
                  <w:marTop w:val="0"/>
                  <w:marBottom w:val="0"/>
                  <w:divBdr>
                    <w:top w:val="none" w:sz="0" w:space="0" w:color="auto"/>
                    <w:left w:val="none" w:sz="0" w:space="0" w:color="auto"/>
                    <w:bottom w:val="none" w:sz="0" w:space="0" w:color="auto"/>
                    <w:right w:val="none" w:sz="0" w:space="0" w:color="auto"/>
                  </w:divBdr>
                </w:div>
                <w:div w:id="1257514872">
                  <w:marLeft w:val="0"/>
                  <w:marRight w:val="0"/>
                  <w:marTop w:val="0"/>
                  <w:marBottom w:val="120"/>
                  <w:divBdr>
                    <w:top w:val="none" w:sz="0" w:space="0" w:color="auto"/>
                    <w:left w:val="none" w:sz="0" w:space="0" w:color="auto"/>
                    <w:bottom w:val="none" w:sz="0" w:space="0" w:color="auto"/>
                    <w:right w:val="none" w:sz="0" w:space="0" w:color="auto"/>
                  </w:divBdr>
                </w:div>
                <w:div w:id="1474059023">
                  <w:marLeft w:val="0"/>
                  <w:marRight w:val="0"/>
                  <w:marTop w:val="0"/>
                  <w:marBottom w:val="0"/>
                  <w:divBdr>
                    <w:top w:val="none" w:sz="0" w:space="0" w:color="auto"/>
                    <w:left w:val="none" w:sz="0" w:space="0" w:color="auto"/>
                    <w:bottom w:val="none" w:sz="0" w:space="0" w:color="auto"/>
                    <w:right w:val="none" w:sz="0" w:space="0" w:color="auto"/>
                  </w:divBdr>
                </w:div>
                <w:div w:id="1780755991">
                  <w:marLeft w:val="0"/>
                  <w:marRight w:val="0"/>
                  <w:marTop w:val="0"/>
                  <w:marBottom w:val="180"/>
                  <w:divBdr>
                    <w:top w:val="none" w:sz="0" w:space="0" w:color="auto"/>
                    <w:left w:val="none" w:sz="0" w:space="0" w:color="auto"/>
                    <w:bottom w:val="none" w:sz="0" w:space="0" w:color="auto"/>
                    <w:right w:val="none" w:sz="0" w:space="0" w:color="auto"/>
                  </w:divBdr>
                </w:div>
                <w:div w:id="1958288879">
                  <w:marLeft w:val="0"/>
                  <w:marRight w:val="0"/>
                  <w:marTop w:val="0"/>
                  <w:marBottom w:val="0"/>
                  <w:divBdr>
                    <w:top w:val="none" w:sz="0" w:space="0" w:color="auto"/>
                    <w:left w:val="none" w:sz="0" w:space="0" w:color="auto"/>
                    <w:bottom w:val="none" w:sz="0" w:space="0" w:color="auto"/>
                    <w:right w:val="none" w:sz="0" w:space="0" w:color="auto"/>
                  </w:divBdr>
                </w:div>
              </w:divsChild>
            </w:div>
            <w:div w:id="186393541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4898638">
      <w:bodyDiv w:val="1"/>
      <w:marLeft w:val="0"/>
      <w:marRight w:val="0"/>
      <w:marTop w:val="0"/>
      <w:marBottom w:val="0"/>
      <w:divBdr>
        <w:top w:val="none" w:sz="0" w:space="0" w:color="auto"/>
        <w:left w:val="none" w:sz="0" w:space="0" w:color="auto"/>
        <w:bottom w:val="none" w:sz="0" w:space="0" w:color="auto"/>
        <w:right w:val="none" w:sz="0" w:space="0" w:color="auto"/>
      </w:divBdr>
    </w:div>
    <w:div w:id="236748035">
      <w:bodyDiv w:val="1"/>
      <w:marLeft w:val="0"/>
      <w:marRight w:val="0"/>
      <w:marTop w:val="0"/>
      <w:marBottom w:val="0"/>
      <w:divBdr>
        <w:top w:val="none" w:sz="0" w:space="0" w:color="auto"/>
        <w:left w:val="none" w:sz="0" w:space="0" w:color="auto"/>
        <w:bottom w:val="none" w:sz="0" w:space="0" w:color="auto"/>
        <w:right w:val="none" w:sz="0" w:space="0" w:color="auto"/>
      </w:divBdr>
      <w:divsChild>
        <w:div w:id="186917227">
          <w:marLeft w:val="0"/>
          <w:marRight w:val="0"/>
          <w:marTop w:val="0"/>
          <w:marBottom w:val="0"/>
          <w:divBdr>
            <w:top w:val="none" w:sz="0" w:space="0" w:color="auto"/>
            <w:left w:val="none" w:sz="0" w:space="0" w:color="auto"/>
            <w:bottom w:val="none" w:sz="0" w:space="0" w:color="auto"/>
            <w:right w:val="none" w:sz="0" w:space="0" w:color="auto"/>
          </w:divBdr>
          <w:divsChild>
            <w:div w:id="14813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6011">
      <w:bodyDiv w:val="1"/>
      <w:marLeft w:val="0"/>
      <w:marRight w:val="0"/>
      <w:marTop w:val="0"/>
      <w:marBottom w:val="0"/>
      <w:divBdr>
        <w:top w:val="none" w:sz="0" w:space="0" w:color="auto"/>
        <w:left w:val="none" w:sz="0" w:space="0" w:color="auto"/>
        <w:bottom w:val="none" w:sz="0" w:space="0" w:color="auto"/>
        <w:right w:val="none" w:sz="0" w:space="0" w:color="auto"/>
      </w:divBdr>
    </w:div>
    <w:div w:id="245694906">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55334988">
      <w:bodyDiv w:val="1"/>
      <w:marLeft w:val="0"/>
      <w:marRight w:val="0"/>
      <w:marTop w:val="0"/>
      <w:marBottom w:val="0"/>
      <w:divBdr>
        <w:top w:val="none" w:sz="0" w:space="0" w:color="auto"/>
        <w:left w:val="none" w:sz="0" w:space="0" w:color="auto"/>
        <w:bottom w:val="none" w:sz="0" w:space="0" w:color="auto"/>
        <w:right w:val="none" w:sz="0" w:space="0" w:color="auto"/>
      </w:divBdr>
      <w:divsChild>
        <w:div w:id="738862159">
          <w:marLeft w:val="0"/>
          <w:marRight w:val="0"/>
          <w:marTop w:val="0"/>
          <w:marBottom w:val="0"/>
          <w:divBdr>
            <w:top w:val="none" w:sz="0" w:space="0" w:color="auto"/>
            <w:left w:val="none" w:sz="0" w:space="0" w:color="auto"/>
            <w:bottom w:val="none" w:sz="0" w:space="0" w:color="auto"/>
            <w:right w:val="none" w:sz="0" w:space="0" w:color="auto"/>
          </w:divBdr>
          <w:divsChild>
            <w:div w:id="1826043636">
              <w:marLeft w:val="0"/>
              <w:marRight w:val="0"/>
              <w:marTop w:val="0"/>
              <w:marBottom w:val="0"/>
              <w:divBdr>
                <w:top w:val="none" w:sz="0" w:space="0" w:color="auto"/>
                <w:left w:val="none" w:sz="0" w:space="0" w:color="auto"/>
                <w:bottom w:val="none" w:sz="0" w:space="0" w:color="auto"/>
                <w:right w:val="none" w:sz="0" w:space="0" w:color="auto"/>
              </w:divBdr>
              <w:divsChild>
                <w:div w:id="709191335">
                  <w:marLeft w:val="0"/>
                  <w:marRight w:val="0"/>
                  <w:marTop w:val="0"/>
                  <w:marBottom w:val="0"/>
                  <w:divBdr>
                    <w:top w:val="none" w:sz="0" w:space="0" w:color="auto"/>
                    <w:left w:val="none" w:sz="0" w:space="0" w:color="auto"/>
                    <w:bottom w:val="none" w:sz="0" w:space="0" w:color="auto"/>
                    <w:right w:val="none" w:sz="0" w:space="0" w:color="auto"/>
                  </w:divBdr>
                </w:div>
                <w:div w:id="961837298">
                  <w:marLeft w:val="0"/>
                  <w:marRight w:val="0"/>
                  <w:marTop w:val="0"/>
                  <w:marBottom w:val="0"/>
                  <w:divBdr>
                    <w:top w:val="none" w:sz="0" w:space="0" w:color="auto"/>
                    <w:left w:val="none" w:sz="0" w:space="0" w:color="auto"/>
                    <w:bottom w:val="none" w:sz="0" w:space="0" w:color="auto"/>
                    <w:right w:val="none" w:sz="0" w:space="0" w:color="auto"/>
                  </w:divBdr>
                </w:div>
                <w:div w:id="1971739566">
                  <w:marLeft w:val="0"/>
                  <w:marRight w:val="0"/>
                  <w:marTop w:val="0"/>
                  <w:marBottom w:val="0"/>
                  <w:divBdr>
                    <w:top w:val="none" w:sz="0" w:space="0" w:color="auto"/>
                    <w:left w:val="none" w:sz="0" w:space="0" w:color="auto"/>
                    <w:bottom w:val="none" w:sz="0" w:space="0" w:color="auto"/>
                    <w:right w:val="none" w:sz="0" w:space="0" w:color="auto"/>
                  </w:divBdr>
                </w:div>
                <w:div w:id="1315917250">
                  <w:marLeft w:val="0"/>
                  <w:marRight w:val="0"/>
                  <w:marTop w:val="0"/>
                  <w:marBottom w:val="0"/>
                  <w:divBdr>
                    <w:top w:val="none" w:sz="0" w:space="0" w:color="auto"/>
                    <w:left w:val="none" w:sz="0" w:space="0" w:color="auto"/>
                    <w:bottom w:val="none" w:sz="0" w:space="0" w:color="auto"/>
                    <w:right w:val="none" w:sz="0" w:space="0" w:color="auto"/>
                  </w:divBdr>
                </w:div>
                <w:div w:id="653264472">
                  <w:marLeft w:val="0"/>
                  <w:marRight w:val="0"/>
                  <w:marTop w:val="0"/>
                  <w:marBottom w:val="0"/>
                  <w:divBdr>
                    <w:top w:val="none" w:sz="0" w:space="0" w:color="auto"/>
                    <w:left w:val="none" w:sz="0" w:space="0" w:color="auto"/>
                    <w:bottom w:val="none" w:sz="0" w:space="0" w:color="auto"/>
                    <w:right w:val="none" w:sz="0" w:space="0" w:color="auto"/>
                  </w:divBdr>
                </w:div>
                <w:div w:id="1978145675">
                  <w:marLeft w:val="0"/>
                  <w:marRight w:val="0"/>
                  <w:marTop w:val="0"/>
                  <w:marBottom w:val="0"/>
                  <w:divBdr>
                    <w:top w:val="none" w:sz="0" w:space="0" w:color="auto"/>
                    <w:left w:val="none" w:sz="0" w:space="0" w:color="auto"/>
                    <w:bottom w:val="none" w:sz="0" w:space="0" w:color="auto"/>
                    <w:right w:val="none" w:sz="0" w:space="0" w:color="auto"/>
                  </w:divBdr>
                </w:div>
                <w:div w:id="770786644">
                  <w:marLeft w:val="0"/>
                  <w:marRight w:val="0"/>
                  <w:marTop w:val="0"/>
                  <w:marBottom w:val="0"/>
                  <w:divBdr>
                    <w:top w:val="none" w:sz="0" w:space="0" w:color="auto"/>
                    <w:left w:val="none" w:sz="0" w:space="0" w:color="auto"/>
                    <w:bottom w:val="none" w:sz="0" w:space="0" w:color="auto"/>
                    <w:right w:val="none" w:sz="0" w:space="0" w:color="auto"/>
                  </w:divBdr>
                </w:div>
                <w:div w:id="1111437565">
                  <w:marLeft w:val="0"/>
                  <w:marRight w:val="0"/>
                  <w:marTop w:val="0"/>
                  <w:marBottom w:val="0"/>
                  <w:divBdr>
                    <w:top w:val="none" w:sz="0" w:space="0" w:color="auto"/>
                    <w:left w:val="none" w:sz="0" w:space="0" w:color="auto"/>
                    <w:bottom w:val="none" w:sz="0" w:space="0" w:color="auto"/>
                    <w:right w:val="none" w:sz="0" w:space="0" w:color="auto"/>
                  </w:divBdr>
                </w:div>
                <w:div w:id="1613169251">
                  <w:marLeft w:val="0"/>
                  <w:marRight w:val="0"/>
                  <w:marTop w:val="0"/>
                  <w:marBottom w:val="0"/>
                  <w:divBdr>
                    <w:top w:val="none" w:sz="0" w:space="0" w:color="auto"/>
                    <w:left w:val="none" w:sz="0" w:space="0" w:color="auto"/>
                    <w:bottom w:val="none" w:sz="0" w:space="0" w:color="auto"/>
                    <w:right w:val="none" w:sz="0" w:space="0" w:color="auto"/>
                  </w:divBdr>
                </w:div>
                <w:div w:id="636572351">
                  <w:marLeft w:val="0"/>
                  <w:marRight w:val="0"/>
                  <w:marTop w:val="0"/>
                  <w:marBottom w:val="0"/>
                  <w:divBdr>
                    <w:top w:val="none" w:sz="0" w:space="0" w:color="auto"/>
                    <w:left w:val="none" w:sz="0" w:space="0" w:color="auto"/>
                    <w:bottom w:val="none" w:sz="0" w:space="0" w:color="auto"/>
                    <w:right w:val="none" w:sz="0" w:space="0" w:color="auto"/>
                  </w:divBdr>
                </w:div>
                <w:div w:id="447437314">
                  <w:marLeft w:val="0"/>
                  <w:marRight w:val="0"/>
                  <w:marTop w:val="0"/>
                  <w:marBottom w:val="0"/>
                  <w:divBdr>
                    <w:top w:val="none" w:sz="0" w:space="0" w:color="auto"/>
                    <w:left w:val="none" w:sz="0" w:space="0" w:color="auto"/>
                    <w:bottom w:val="none" w:sz="0" w:space="0" w:color="auto"/>
                    <w:right w:val="none" w:sz="0" w:space="0" w:color="auto"/>
                  </w:divBdr>
                </w:div>
                <w:div w:id="484783347">
                  <w:marLeft w:val="0"/>
                  <w:marRight w:val="0"/>
                  <w:marTop w:val="0"/>
                  <w:marBottom w:val="0"/>
                  <w:divBdr>
                    <w:top w:val="none" w:sz="0" w:space="0" w:color="auto"/>
                    <w:left w:val="none" w:sz="0" w:space="0" w:color="auto"/>
                    <w:bottom w:val="none" w:sz="0" w:space="0" w:color="auto"/>
                    <w:right w:val="none" w:sz="0" w:space="0" w:color="auto"/>
                  </w:divBdr>
                </w:div>
                <w:div w:id="1671834879">
                  <w:marLeft w:val="0"/>
                  <w:marRight w:val="0"/>
                  <w:marTop w:val="0"/>
                  <w:marBottom w:val="0"/>
                  <w:divBdr>
                    <w:top w:val="none" w:sz="0" w:space="0" w:color="auto"/>
                    <w:left w:val="none" w:sz="0" w:space="0" w:color="auto"/>
                    <w:bottom w:val="none" w:sz="0" w:space="0" w:color="auto"/>
                    <w:right w:val="none" w:sz="0" w:space="0" w:color="auto"/>
                  </w:divBdr>
                </w:div>
                <w:div w:id="1429932157">
                  <w:marLeft w:val="0"/>
                  <w:marRight w:val="0"/>
                  <w:marTop w:val="0"/>
                  <w:marBottom w:val="0"/>
                  <w:divBdr>
                    <w:top w:val="none" w:sz="0" w:space="0" w:color="auto"/>
                    <w:left w:val="none" w:sz="0" w:space="0" w:color="auto"/>
                    <w:bottom w:val="none" w:sz="0" w:space="0" w:color="auto"/>
                    <w:right w:val="none" w:sz="0" w:space="0" w:color="auto"/>
                  </w:divBdr>
                </w:div>
                <w:div w:id="858853495">
                  <w:marLeft w:val="0"/>
                  <w:marRight w:val="0"/>
                  <w:marTop w:val="0"/>
                  <w:marBottom w:val="0"/>
                  <w:divBdr>
                    <w:top w:val="none" w:sz="0" w:space="0" w:color="auto"/>
                    <w:left w:val="none" w:sz="0" w:space="0" w:color="auto"/>
                    <w:bottom w:val="none" w:sz="0" w:space="0" w:color="auto"/>
                    <w:right w:val="none" w:sz="0" w:space="0" w:color="auto"/>
                  </w:divBdr>
                </w:div>
                <w:div w:id="574584404">
                  <w:marLeft w:val="0"/>
                  <w:marRight w:val="0"/>
                  <w:marTop w:val="0"/>
                  <w:marBottom w:val="0"/>
                  <w:divBdr>
                    <w:top w:val="none" w:sz="0" w:space="0" w:color="auto"/>
                    <w:left w:val="none" w:sz="0" w:space="0" w:color="auto"/>
                    <w:bottom w:val="none" w:sz="0" w:space="0" w:color="auto"/>
                    <w:right w:val="none" w:sz="0" w:space="0" w:color="auto"/>
                  </w:divBdr>
                </w:div>
                <w:div w:id="215089405">
                  <w:marLeft w:val="0"/>
                  <w:marRight w:val="0"/>
                  <w:marTop w:val="0"/>
                  <w:marBottom w:val="0"/>
                  <w:divBdr>
                    <w:top w:val="none" w:sz="0" w:space="0" w:color="auto"/>
                    <w:left w:val="none" w:sz="0" w:space="0" w:color="auto"/>
                    <w:bottom w:val="none" w:sz="0" w:space="0" w:color="auto"/>
                    <w:right w:val="none" w:sz="0" w:space="0" w:color="auto"/>
                  </w:divBdr>
                </w:div>
                <w:div w:id="2114278844">
                  <w:marLeft w:val="0"/>
                  <w:marRight w:val="0"/>
                  <w:marTop w:val="0"/>
                  <w:marBottom w:val="0"/>
                  <w:divBdr>
                    <w:top w:val="none" w:sz="0" w:space="0" w:color="auto"/>
                    <w:left w:val="none" w:sz="0" w:space="0" w:color="auto"/>
                    <w:bottom w:val="none" w:sz="0" w:space="0" w:color="auto"/>
                    <w:right w:val="none" w:sz="0" w:space="0" w:color="auto"/>
                  </w:divBdr>
                </w:div>
                <w:div w:id="968432810">
                  <w:marLeft w:val="0"/>
                  <w:marRight w:val="0"/>
                  <w:marTop w:val="0"/>
                  <w:marBottom w:val="0"/>
                  <w:divBdr>
                    <w:top w:val="none" w:sz="0" w:space="0" w:color="auto"/>
                    <w:left w:val="none" w:sz="0" w:space="0" w:color="auto"/>
                    <w:bottom w:val="none" w:sz="0" w:space="0" w:color="auto"/>
                    <w:right w:val="none" w:sz="0" w:space="0" w:color="auto"/>
                  </w:divBdr>
                </w:div>
                <w:div w:id="1095398450">
                  <w:marLeft w:val="0"/>
                  <w:marRight w:val="0"/>
                  <w:marTop w:val="0"/>
                  <w:marBottom w:val="0"/>
                  <w:divBdr>
                    <w:top w:val="none" w:sz="0" w:space="0" w:color="auto"/>
                    <w:left w:val="none" w:sz="0" w:space="0" w:color="auto"/>
                    <w:bottom w:val="none" w:sz="0" w:space="0" w:color="auto"/>
                    <w:right w:val="none" w:sz="0" w:space="0" w:color="auto"/>
                  </w:divBdr>
                </w:div>
                <w:div w:id="1599026526">
                  <w:marLeft w:val="0"/>
                  <w:marRight w:val="0"/>
                  <w:marTop w:val="0"/>
                  <w:marBottom w:val="0"/>
                  <w:divBdr>
                    <w:top w:val="none" w:sz="0" w:space="0" w:color="auto"/>
                    <w:left w:val="none" w:sz="0" w:space="0" w:color="auto"/>
                    <w:bottom w:val="none" w:sz="0" w:space="0" w:color="auto"/>
                    <w:right w:val="none" w:sz="0" w:space="0" w:color="auto"/>
                  </w:divBdr>
                </w:div>
                <w:div w:id="2056732818">
                  <w:marLeft w:val="0"/>
                  <w:marRight w:val="0"/>
                  <w:marTop w:val="0"/>
                  <w:marBottom w:val="0"/>
                  <w:divBdr>
                    <w:top w:val="none" w:sz="0" w:space="0" w:color="auto"/>
                    <w:left w:val="none" w:sz="0" w:space="0" w:color="auto"/>
                    <w:bottom w:val="none" w:sz="0" w:space="0" w:color="auto"/>
                    <w:right w:val="none" w:sz="0" w:space="0" w:color="auto"/>
                  </w:divBdr>
                </w:div>
                <w:div w:id="1021317651">
                  <w:marLeft w:val="0"/>
                  <w:marRight w:val="0"/>
                  <w:marTop w:val="0"/>
                  <w:marBottom w:val="0"/>
                  <w:divBdr>
                    <w:top w:val="none" w:sz="0" w:space="0" w:color="auto"/>
                    <w:left w:val="none" w:sz="0" w:space="0" w:color="auto"/>
                    <w:bottom w:val="none" w:sz="0" w:space="0" w:color="auto"/>
                    <w:right w:val="none" w:sz="0" w:space="0" w:color="auto"/>
                  </w:divBdr>
                </w:div>
                <w:div w:id="1652250389">
                  <w:marLeft w:val="0"/>
                  <w:marRight w:val="0"/>
                  <w:marTop w:val="0"/>
                  <w:marBottom w:val="0"/>
                  <w:divBdr>
                    <w:top w:val="none" w:sz="0" w:space="0" w:color="auto"/>
                    <w:left w:val="none" w:sz="0" w:space="0" w:color="auto"/>
                    <w:bottom w:val="none" w:sz="0" w:space="0" w:color="auto"/>
                    <w:right w:val="none" w:sz="0" w:space="0" w:color="auto"/>
                  </w:divBdr>
                </w:div>
                <w:div w:id="1362897967">
                  <w:marLeft w:val="0"/>
                  <w:marRight w:val="0"/>
                  <w:marTop w:val="0"/>
                  <w:marBottom w:val="0"/>
                  <w:divBdr>
                    <w:top w:val="none" w:sz="0" w:space="0" w:color="auto"/>
                    <w:left w:val="none" w:sz="0" w:space="0" w:color="auto"/>
                    <w:bottom w:val="none" w:sz="0" w:space="0" w:color="auto"/>
                    <w:right w:val="none" w:sz="0" w:space="0" w:color="auto"/>
                  </w:divBdr>
                </w:div>
                <w:div w:id="218323732">
                  <w:marLeft w:val="0"/>
                  <w:marRight w:val="0"/>
                  <w:marTop w:val="0"/>
                  <w:marBottom w:val="0"/>
                  <w:divBdr>
                    <w:top w:val="none" w:sz="0" w:space="0" w:color="auto"/>
                    <w:left w:val="none" w:sz="0" w:space="0" w:color="auto"/>
                    <w:bottom w:val="none" w:sz="0" w:space="0" w:color="auto"/>
                    <w:right w:val="none" w:sz="0" w:space="0" w:color="auto"/>
                  </w:divBdr>
                </w:div>
                <w:div w:id="513374167">
                  <w:marLeft w:val="0"/>
                  <w:marRight w:val="0"/>
                  <w:marTop w:val="0"/>
                  <w:marBottom w:val="0"/>
                  <w:divBdr>
                    <w:top w:val="none" w:sz="0" w:space="0" w:color="auto"/>
                    <w:left w:val="none" w:sz="0" w:space="0" w:color="auto"/>
                    <w:bottom w:val="none" w:sz="0" w:space="0" w:color="auto"/>
                    <w:right w:val="none" w:sz="0" w:space="0" w:color="auto"/>
                  </w:divBdr>
                </w:div>
                <w:div w:id="288825367">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1499925197">
                  <w:marLeft w:val="0"/>
                  <w:marRight w:val="0"/>
                  <w:marTop w:val="0"/>
                  <w:marBottom w:val="0"/>
                  <w:divBdr>
                    <w:top w:val="none" w:sz="0" w:space="0" w:color="auto"/>
                    <w:left w:val="none" w:sz="0" w:space="0" w:color="auto"/>
                    <w:bottom w:val="none" w:sz="0" w:space="0" w:color="auto"/>
                    <w:right w:val="none" w:sz="0" w:space="0" w:color="auto"/>
                  </w:divBdr>
                </w:div>
              </w:divsChild>
            </w:div>
            <w:div w:id="113012495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58490739">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2615333">
      <w:bodyDiv w:val="1"/>
      <w:marLeft w:val="0"/>
      <w:marRight w:val="0"/>
      <w:marTop w:val="0"/>
      <w:marBottom w:val="0"/>
      <w:divBdr>
        <w:top w:val="none" w:sz="0" w:space="0" w:color="auto"/>
        <w:left w:val="none" w:sz="0" w:space="0" w:color="auto"/>
        <w:bottom w:val="none" w:sz="0" w:space="0" w:color="auto"/>
        <w:right w:val="none" w:sz="0" w:space="0" w:color="auto"/>
      </w:divBdr>
    </w:div>
    <w:div w:id="284434646">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4256839">
      <w:bodyDiv w:val="1"/>
      <w:marLeft w:val="0"/>
      <w:marRight w:val="0"/>
      <w:marTop w:val="0"/>
      <w:marBottom w:val="0"/>
      <w:divBdr>
        <w:top w:val="none" w:sz="0" w:space="0" w:color="auto"/>
        <w:left w:val="none" w:sz="0" w:space="0" w:color="auto"/>
        <w:bottom w:val="none" w:sz="0" w:space="0" w:color="auto"/>
        <w:right w:val="none" w:sz="0" w:space="0" w:color="auto"/>
      </w:divBdr>
    </w:div>
    <w:div w:id="298154135">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0887636">
      <w:bodyDiv w:val="1"/>
      <w:marLeft w:val="0"/>
      <w:marRight w:val="0"/>
      <w:marTop w:val="0"/>
      <w:marBottom w:val="0"/>
      <w:divBdr>
        <w:top w:val="none" w:sz="0" w:space="0" w:color="auto"/>
        <w:left w:val="none" w:sz="0" w:space="0" w:color="auto"/>
        <w:bottom w:val="none" w:sz="0" w:space="0" w:color="auto"/>
        <w:right w:val="none" w:sz="0" w:space="0" w:color="auto"/>
      </w:divBdr>
    </w:div>
    <w:div w:id="302464013">
      <w:bodyDiv w:val="1"/>
      <w:marLeft w:val="0"/>
      <w:marRight w:val="0"/>
      <w:marTop w:val="0"/>
      <w:marBottom w:val="0"/>
      <w:divBdr>
        <w:top w:val="none" w:sz="0" w:space="0" w:color="auto"/>
        <w:left w:val="none" w:sz="0" w:space="0" w:color="auto"/>
        <w:bottom w:val="none" w:sz="0" w:space="0" w:color="auto"/>
        <w:right w:val="none" w:sz="0" w:space="0" w:color="auto"/>
      </w:divBdr>
    </w:div>
    <w:div w:id="303900204">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05279539">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3997955">
      <w:bodyDiv w:val="1"/>
      <w:marLeft w:val="0"/>
      <w:marRight w:val="0"/>
      <w:marTop w:val="0"/>
      <w:marBottom w:val="0"/>
      <w:divBdr>
        <w:top w:val="none" w:sz="0" w:space="0" w:color="auto"/>
        <w:left w:val="none" w:sz="0" w:space="0" w:color="auto"/>
        <w:bottom w:val="none" w:sz="0" w:space="0" w:color="auto"/>
        <w:right w:val="none" w:sz="0" w:space="0" w:color="auto"/>
      </w:divBdr>
    </w:div>
    <w:div w:id="315231005">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17000959">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0523033">
      <w:bodyDiv w:val="1"/>
      <w:marLeft w:val="0"/>
      <w:marRight w:val="0"/>
      <w:marTop w:val="0"/>
      <w:marBottom w:val="0"/>
      <w:divBdr>
        <w:top w:val="none" w:sz="0" w:space="0" w:color="auto"/>
        <w:left w:val="none" w:sz="0" w:space="0" w:color="auto"/>
        <w:bottom w:val="none" w:sz="0" w:space="0" w:color="auto"/>
        <w:right w:val="none" w:sz="0" w:space="0" w:color="auto"/>
      </w:divBdr>
    </w:div>
    <w:div w:id="330573012">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193022">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35573631">
      <w:bodyDiv w:val="1"/>
      <w:marLeft w:val="0"/>
      <w:marRight w:val="0"/>
      <w:marTop w:val="0"/>
      <w:marBottom w:val="0"/>
      <w:divBdr>
        <w:top w:val="none" w:sz="0" w:space="0" w:color="auto"/>
        <w:left w:val="none" w:sz="0" w:space="0" w:color="auto"/>
        <w:bottom w:val="none" w:sz="0" w:space="0" w:color="auto"/>
        <w:right w:val="none" w:sz="0" w:space="0" w:color="auto"/>
      </w:divBdr>
    </w:div>
    <w:div w:id="335889964">
      <w:bodyDiv w:val="1"/>
      <w:marLeft w:val="0"/>
      <w:marRight w:val="0"/>
      <w:marTop w:val="0"/>
      <w:marBottom w:val="0"/>
      <w:divBdr>
        <w:top w:val="none" w:sz="0" w:space="0" w:color="auto"/>
        <w:left w:val="none" w:sz="0" w:space="0" w:color="auto"/>
        <w:bottom w:val="none" w:sz="0" w:space="0" w:color="auto"/>
        <w:right w:val="none" w:sz="0" w:space="0" w:color="auto"/>
      </w:divBdr>
    </w:div>
    <w:div w:id="337078778">
      <w:bodyDiv w:val="1"/>
      <w:marLeft w:val="0"/>
      <w:marRight w:val="0"/>
      <w:marTop w:val="0"/>
      <w:marBottom w:val="0"/>
      <w:divBdr>
        <w:top w:val="none" w:sz="0" w:space="0" w:color="auto"/>
        <w:left w:val="none" w:sz="0" w:space="0" w:color="auto"/>
        <w:bottom w:val="none" w:sz="0" w:space="0" w:color="auto"/>
        <w:right w:val="none" w:sz="0" w:space="0" w:color="auto"/>
      </w:divBdr>
    </w:div>
    <w:div w:id="340398329">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46056092">
      <w:bodyDiv w:val="1"/>
      <w:marLeft w:val="0"/>
      <w:marRight w:val="0"/>
      <w:marTop w:val="0"/>
      <w:marBottom w:val="0"/>
      <w:divBdr>
        <w:top w:val="none" w:sz="0" w:space="0" w:color="auto"/>
        <w:left w:val="none" w:sz="0" w:space="0" w:color="auto"/>
        <w:bottom w:val="none" w:sz="0" w:space="0" w:color="auto"/>
        <w:right w:val="none" w:sz="0" w:space="0" w:color="auto"/>
      </w:divBdr>
      <w:divsChild>
        <w:div w:id="1091656334">
          <w:marLeft w:val="0"/>
          <w:marRight w:val="0"/>
          <w:marTop w:val="0"/>
          <w:marBottom w:val="0"/>
          <w:divBdr>
            <w:top w:val="none" w:sz="0" w:space="0" w:color="auto"/>
            <w:left w:val="none" w:sz="0" w:space="0" w:color="auto"/>
            <w:bottom w:val="none" w:sz="0" w:space="0" w:color="auto"/>
            <w:right w:val="none" w:sz="0" w:space="0" w:color="auto"/>
          </w:divBdr>
        </w:div>
      </w:divsChild>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4814926">
      <w:bodyDiv w:val="1"/>
      <w:marLeft w:val="0"/>
      <w:marRight w:val="0"/>
      <w:marTop w:val="0"/>
      <w:marBottom w:val="0"/>
      <w:divBdr>
        <w:top w:val="none" w:sz="0" w:space="0" w:color="auto"/>
        <w:left w:val="none" w:sz="0" w:space="0" w:color="auto"/>
        <w:bottom w:val="none" w:sz="0" w:space="0" w:color="auto"/>
        <w:right w:val="none" w:sz="0" w:space="0" w:color="auto"/>
      </w:divBdr>
    </w:div>
    <w:div w:id="356548414">
      <w:bodyDiv w:val="1"/>
      <w:marLeft w:val="0"/>
      <w:marRight w:val="0"/>
      <w:marTop w:val="0"/>
      <w:marBottom w:val="0"/>
      <w:divBdr>
        <w:top w:val="none" w:sz="0" w:space="0" w:color="auto"/>
        <w:left w:val="none" w:sz="0" w:space="0" w:color="auto"/>
        <w:bottom w:val="none" w:sz="0" w:space="0" w:color="auto"/>
        <w:right w:val="none" w:sz="0" w:space="0" w:color="auto"/>
      </w:divBdr>
    </w:div>
    <w:div w:id="356976311">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1564234">
      <w:bodyDiv w:val="1"/>
      <w:marLeft w:val="0"/>
      <w:marRight w:val="0"/>
      <w:marTop w:val="0"/>
      <w:marBottom w:val="0"/>
      <w:divBdr>
        <w:top w:val="none" w:sz="0" w:space="0" w:color="auto"/>
        <w:left w:val="none" w:sz="0" w:space="0" w:color="auto"/>
        <w:bottom w:val="none" w:sz="0" w:space="0" w:color="auto"/>
        <w:right w:val="none" w:sz="0" w:space="0" w:color="auto"/>
      </w:divBdr>
    </w:div>
    <w:div w:id="361824279">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70108103">
      <w:bodyDiv w:val="1"/>
      <w:marLeft w:val="0"/>
      <w:marRight w:val="0"/>
      <w:marTop w:val="0"/>
      <w:marBottom w:val="0"/>
      <w:divBdr>
        <w:top w:val="none" w:sz="0" w:space="0" w:color="auto"/>
        <w:left w:val="none" w:sz="0" w:space="0" w:color="auto"/>
        <w:bottom w:val="none" w:sz="0" w:space="0" w:color="auto"/>
        <w:right w:val="none" w:sz="0" w:space="0" w:color="auto"/>
      </w:divBdr>
    </w:div>
    <w:div w:id="375593734">
      <w:bodyDiv w:val="1"/>
      <w:marLeft w:val="0"/>
      <w:marRight w:val="0"/>
      <w:marTop w:val="0"/>
      <w:marBottom w:val="0"/>
      <w:divBdr>
        <w:top w:val="none" w:sz="0" w:space="0" w:color="auto"/>
        <w:left w:val="none" w:sz="0" w:space="0" w:color="auto"/>
        <w:bottom w:val="none" w:sz="0" w:space="0" w:color="auto"/>
        <w:right w:val="none" w:sz="0" w:space="0" w:color="auto"/>
      </w:divBdr>
    </w:div>
    <w:div w:id="385765254">
      <w:bodyDiv w:val="1"/>
      <w:marLeft w:val="0"/>
      <w:marRight w:val="0"/>
      <w:marTop w:val="0"/>
      <w:marBottom w:val="0"/>
      <w:divBdr>
        <w:top w:val="none" w:sz="0" w:space="0" w:color="auto"/>
        <w:left w:val="none" w:sz="0" w:space="0" w:color="auto"/>
        <w:bottom w:val="none" w:sz="0" w:space="0" w:color="auto"/>
        <w:right w:val="none" w:sz="0" w:space="0" w:color="auto"/>
      </w:divBdr>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2773058">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395209219">
      <w:bodyDiv w:val="1"/>
      <w:marLeft w:val="0"/>
      <w:marRight w:val="0"/>
      <w:marTop w:val="0"/>
      <w:marBottom w:val="0"/>
      <w:divBdr>
        <w:top w:val="none" w:sz="0" w:space="0" w:color="auto"/>
        <w:left w:val="none" w:sz="0" w:space="0" w:color="auto"/>
        <w:bottom w:val="none" w:sz="0" w:space="0" w:color="auto"/>
        <w:right w:val="none" w:sz="0" w:space="0" w:color="auto"/>
      </w:divBdr>
    </w:div>
    <w:div w:id="397829116">
      <w:bodyDiv w:val="1"/>
      <w:marLeft w:val="0"/>
      <w:marRight w:val="0"/>
      <w:marTop w:val="0"/>
      <w:marBottom w:val="0"/>
      <w:divBdr>
        <w:top w:val="none" w:sz="0" w:space="0" w:color="auto"/>
        <w:left w:val="none" w:sz="0" w:space="0" w:color="auto"/>
        <w:bottom w:val="none" w:sz="0" w:space="0" w:color="auto"/>
        <w:right w:val="none" w:sz="0" w:space="0" w:color="auto"/>
      </w:divBdr>
    </w:div>
    <w:div w:id="400953458">
      <w:bodyDiv w:val="1"/>
      <w:marLeft w:val="0"/>
      <w:marRight w:val="0"/>
      <w:marTop w:val="0"/>
      <w:marBottom w:val="0"/>
      <w:divBdr>
        <w:top w:val="none" w:sz="0" w:space="0" w:color="auto"/>
        <w:left w:val="none" w:sz="0" w:space="0" w:color="auto"/>
        <w:bottom w:val="none" w:sz="0" w:space="0" w:color="auto"/>
        <w:right w:val="none" w:sz="0" w:space="0" w:color="auto"/>
      </w:divBdr>
    </w:div>
    <w:div w:id="403141652">
      <w:bodyDiv w:val="1"/>
      <w:marLeft w:val="0"/>
      <w:marRight w:val="0"/>
      <w:marTop w:val="0"/>
      <w:marBottom w:val="0"/>
      <w:divBdr>
        <w:top w:val="none" w:sz="0" w:space="0" w:color="auto"/>
        <w:left w:val="none" w:sz="0" w:space="0" w:color="auto"/>
        <w:bottom w:val="none" w:sz="0" w:space="0" w:color="auto"/>
        <w:right w:val="none" w:sz="0" w:space="0" w:color="auto"/>
      </w:divBdr>
    </w:div>
    <w:div w:id="403331733">
      <w:bodyDiv w:val="1"/>
      <w:marLeft w:val="0"/>
      <w:marRight w:val="0"/>
      <w:marTop w:val="0"/>
      <w:marBottom w:val="0"/>
      <w:divBdr>
        <w:top w:val="none" w:sz="0" w:space="0" w:color="auto"/>
        <w:left w:val="none" w:sz="0" w:space="0" w:color="auto"/>
        <w:bottom w:val="none" w:sz="0" w:space="0" w:color="auto"/>
        <w:right w:val="none" w:sz="0" w:space="0" w:color="auto"/>
      </w:divBdr>
    </w:div>
    <w:div w:id="405149165">
      <w:bodyDiv w:val="1"/>
      <w:marLeft w:val="0"/>
      <w:marRight w:val="0"/>
      <w:marTop w:val="0"/>
      <w:marBottom w:val="0"/>
      <w:divBdr>
        <w:top w:val="none" w:sz="0" w:space="0" w:color="auto"/>
        <w:left w:val="none" w:sz="0" w:space="0" w:color="auto"/>
        <w:bottom w:val="none" w:sz="0" w:space="0" w:color="auto"/>
        <w:right w:val="none" w:sz="0" w:space="0" w:color="auto"/>
      </w:divBdr>
      <w:divsChild>
        <w:div w:id="72240768">
          <w:marLeft w:val="0"/>
          <w:marRight w:val="0"/>
          <w:marTop w:val="0"/>
          <w:marBottom w:val="0"/>
          <w:divBdr>
            <w:top w:val="none" w:sz="0" w:space="0" w:color="auto"/>
            <w:left w:val="none" w:sz="0" w:space="0" w:color="auto"/>
            <w:bottom w:val="none" w:sz="0" w:space="0" w:color="auto"/>
            <w:right w:val="none" w:sz="0" w:space="0" w:color="auto"/>
          </w:divBdr>
        </w:div>
      </w:divsChild>
    </w:div>
    <w:div w:id="405349747">
      <w:bodyDiv w:val="1"/>
      <w:marLeft w:val="0"/>
      <w:marRight w:val="0"/>
      <w:marTop w:val="0"/>
      <w:marBottom w:val="0"/>
      <w:divBdr>
        <w:top w:val="none" w:sz="0" w:space="0" w:color="auto"/>
        <w:left w:val="none" w:sz="0" w:space="0" w:color="auto"/>
        <w:bottom w:val="none" w:sz="0" w:space="0" w:color="auto"/>
        <w:right w:val="none" w:sz="0" w:space="0" w:color="auto"/>
      </w:divBdr>
      <w:divsChild>
        <w:div w:id="385568101">
          <w:marLeft w:val="0"/>
          <w:marRight w:val="0"/>
          <w:marTop w:val="0"/>
          <w:marBottom w:val="0"/>
          <w:divBdr>
            <w:top w:val="none" w:sz="0" w:space="0" w:color="auto"/>
            <w:left w:val="none" w:sz="0" w:space="0" w:color="auto"/>
            <w:bottom w:val="none" w:sz="0" w:space="0" w:color="auto"/>
            <w:right w:val="none" w:sz="0" w:space="0" w:color="auto"/>
          </w:divBdr>
        </w:div>
        <w:div w:id="947588161">
          <w:marLeft w:val="0"/>
          <w:marRight w:val="0"/>
          <w:marTop w:val="0"/>
          <w:marBottom w:val="0"/>
          <w:divBdr>
            <w:top w:val="none" w:sz="0" w:space="0" w:color="auto"/>
            <w:left w:val="none" w:sz="0" w:space="0" w:color="auto"/>
            <w:bottom w:val="none" w:sz="0" w:space="0" w:color="auto"/>
            <w:right w:val="none" w:sz="0" w:space="0" w:color="auto"/>
          </w:divBdr>
        </w:div>
        <w:div w:id="2100714314">
          <w:marLeft w:val="0"/>
          <w:marRight w:val="0"/>
          <w:marTop w:val="0"/>
          <w:marBottom w:val="0"/>
          <w:divBdr>
            <w:top w:val="none" w:sz="0" w:space="0" w:color="auto"/>
            <w:left w:val="none" w:sz="0" w:space="0" w:color="auto"/>
            <w:bottom w:val="none" w:sz="0" w:space="0" w:color="auto"/>
            <w:right w:val="none" w:sz="0" w:space="0" w:color="auto"/>
          </w:divBdr>
        </w:div>
      </w:divsChild>
    </w:div>
    <w:div w:id="406192912">
      <w:bodyDiv w:val="1"/>
      <w:marLeft w:val="0"/>
      <w:marRight w:val="0"/>
      <w:marTop w:val="0"/>
      <w:marBottom w:val="0"/>
      <w:divBdr>
        <w:top w:val="none" w:sz="0" w:space="0" w:color="auto"/>
        <w:left w:val="none" w:sz="0" w:space="0" w:color="auto"/>
        <w:bottom w:val="none" w:sz="0" w:space="0" w:color="auto"/>
        <w:right w:val="none" w:sz="0" w:space="0" w:color="auto"/>
      </w:divBdr>
    </w:div>
    <w:div w:id="406466390">
      <w:bodyDiv w:val="1"/>
      <w:marLeft w:val="0"/>
      <w:marRight w:val="0"/>
      <w:marTop w:val="0"/>
      <w:marBottom w:val="0"/>
      <w:divBdr>
        <w:top w:val="none" w:sz="0" w:space="0" w:color="auto"/>
        <w:left w:val="none" w:sz="0" w:space="0" w:color="auto"/>
        <w:bottom w:val="none" w:sz="0" w:space="0" w:color="auto"/>
        <w:right w:val="none" w:sz="0" w:space="0" w:color="auto"/>
      </w:divBdr>
      <w:divsChild>
        <w:div w:id="1419476828">
          <w:marLeft w:val="0"/>
          <w:marRight w:val="0"/>
          <w:marTop w:val="0"/>
          <w:marBottom w:val="0"/>
          <w:divBdr>
            <w:top w:val="none" w:sz="0" w:space="0" w:color="auto"/>
            <w:left w:val="none" w:sz="0" w:space="0" w:color="auto"/>
            <w:bottom w:val="none" w:sz="0" w:space="0" w:color="auto"/>
            <w:right w:val="none" w:sz="0" w:space="0" w:color="auto"/>
          </w:divBdr>
          <w:divsChild>
            <w:div w:id="854156293">
              <w:marLeft w:val="0"/>
              <w:marRight w:val="0"/>
              <w:marTop w:val="0"/>
              <w:marBottom w:val="0"/>
              <w:divBdr>
                <w:top w:val="none" w:sz="0" w:space="0" w:color="auto"/>
                <w:left w:val="none" w:sz="0" w:space="0" w:color="auto"/>
                <w:bottom w:val="none" w:sz="0" w:space="0" w:color="auto"/>
                <w:right w:val="none" w:sz="0" w:space="0" w:color="auto"/>
              </w:divBdr>
              <w:divsChild>
                <w:div w:id="1882746941">
                  <w:marLeft w:val="0"/>
                  <w:marRight w:val="0"/>
                  <w:marTop w:val="0"/>
                  <w:marBottom w:val="0"/>
                  <w:divBdr>
                    <w:top w:val="none" w:sz="0" w:space="0" w:color="auto"/>
                    <w:left w:val="none" w:sz="0" w:space="0" w:color="auto"/>
                    <w:bottom w:val="none" w:sz="0" w:space="0" w:color="auto"/>
                    <w:right w:val="none" w:sz="0" w:space="0" w:color="auto"/>
                  </w:divBdr>
                </w:div>
                <w:div w:id="2122455980">
                  <w:marLeft w:val="0"/>
                  <w:marRight w:val="0"/>
                  <w:marTop w:val="0"/>
                  <w:marBottom w:val="0"/>
                  <w:divBdr>
                    <w:top w:val="none" w:sz="0" w:space="0" w:color="auto"/>
                    <w:left w:val="none" w:sz="0" w:space="0" w:color="auto"/>
                    <w:bottom w:val="none" w:sz="0" w:space="0" w:color="auto"/>
                    <w:right w:val="none" w:sz="0" w:space="0" w:color="auto"/>
                  </w:divBdr>
                </w:div>
                <w:div w:id="501120215">
                  <w:marLeft w:val="0"/>
                  <w:marRight w:val="0"/>
                  <w:marTop w:val="0"/>
                  <w:marBottom w:val="0"/>
                  <w:divBdr>
                    <w:top w:val="none" w:sz="0" w:space="0" w:color="auto"/>
                    <w:left w:val="none" w:sz="0" w:space="0" w:color="auto"/>
                    <w:bottom w:val="none" w:sz="0" w:space="0" w:color="auto"/>
                    <w:right w:val="none" w:sz="0" w:space="0" w:color="auto"/>
                  </w:divBdr>
                </w:div>
                <w:div w:id="1588952724">
                  <w:marLeft w:val="0"/>
                  <w:marRight w:val="0"/>
                  <w:marTop w:val="0"/>
                  <w:marBottom w:val="0"/>
                  <w:divBdr>
                    <w:top w:val="none" w:sz="0" w:space="0" w:color="auto"/>
                    <w:left w:val="none" w:sz="0" w:space="0" w:color="auto"/>
                    <w:bottom w:val="none" w:sz="0" w:space="0" w:color="auto"/>
                    <w:right w:val="none" w:sz="0" w:space="0" w:color="auto"/>
                  </w:divBdr>
                </w:div>
                <w:div w:id="417869623">
                  <w:marLeft w:val="0"/>
                  <w:marRight w:val="0"/>
                  <w:marTop w:val="0"/>
                  <w:marBottom w:val="0"/>
                  <w:divBdr>
                    <w:top w:val="none" w:sz="0" w:space="0" w:color="auto"/>
                    <w:left w:val="none" w:sz="0" w:space="0" w:color="auto"/>
                    <w:bottom w:val="none" w:sz="0" w:space="0" w:color="auto"/>
                    <w:right w:val="none" w:sz="0" w:space="0" w:color="auto"/>
                  </w:divBdr>
                </w:div>
                <w:div w:id="1759673196">
                  <w:marLeft w:val="0"/>
                  <w:marRight w:val="0"/>
                  <w:marTop w:val="0"/>
                  <w:marBottom w:val="0"/>
                  <w:divBdr>
                    <w:top w:val="none" w:sz="0" w:space="0" w:color="auto"/>
                    <w:left w:val="none" w:sz="0" w:space="0" w:color="auto"/>
                    <w:bottom w:val="none" w:sz="0" w:space="0" w:color="auto"/>
                    <w:right w:val="none" w:sz="0" w:space="0" w:color="auto"/>
                  </w:divBdr>
                </w:div>
                <w:div w:id="60105238">
                  <w:marLeft w:val="0"/>
                  <w:marRight w:val="0"/>
                  <w:marTop w:val="0"/>
                  <w:marBottom w:val="0"/>
                  <w:divBdr>
                    <w:top w:val="none" w:sz="0" w:space="0" w:color="auto"/>
                    <w:left w:val="none" w:sz="0" w:space="0" w:color="auto"/>
                    <w:bottom w:val="none" w:sz="0" w:space="0" w:color="auto"/>
                    <w:right w:val="none" w:sz="0" w:space="0" w:color="auto"/>
                  </w:divBdr>
                </w:div>
                <w:div w:id="775058346">
                  <w:marLeft w:val="0"/>
                  <w:marRight w:val="0"/>
                  <w:marTop w:val="0"/>
                  <w:marBottom w:val="0"/>
                  <w:divBdr>
                    <w:top w:val="none" w:sz="0" w:space="0" w:color="auto"/>
                    <w:left w:val="none" w:sz="0" w:space="0" w:color="auto"/>
                    <w:bottom w:val="none" w:sz="0" w:space="0" w:color="auto"/>
                    <w:right w:val="none" w:sz="0" w:space="0" w:color="auto"/>
                  </w:divBdr>
                </w:div>
                <w:div w:id="1878348507">
                  <w:marLeft w:val="0"/>
                  <w:marRight w:val="0"/>
                  <w:marTop w:val="0"/>
                  <w:marBottom w:val="0"/>
                  <w:divBdr>
                    <w:top w:val="none" w:sz="0" w:space="0" w:color="auto"/>
                    <w:left w:val="none" w:sz="0" w:space="0" w:color="auto"/>
                    <w:bottom w:val="none" w:sz="0" w:space="0" w:color="auto"/>
                    <w:right w:val="none" w:sz="0" w:space="0" w:color="auto"/>
                  </w:divBdr>
                </w:div>
                <w:div w:id="1072779580">
                  <w:marLeft w:val="0"/>
                  <w:marRight w:val="0"/>
                  <w:marTop w:val="0"/>
                  <w:marBottom w:val="0"/>
                  <w:divBdr>
                    <w:top w:val="none" w:sz="0" w:space="0" w:color="auto"/>
                    <w:left w:val="none" w:sz="0" w:space="0" w:color="auto"/>
                    <w:bottom w:val="none" w:sz="0" w:space="0" w:color="auto"/>
                    <w:right w:val="none" w:sz="0" w:space="0" w:color="auto"/>
                  </w:divBdr>
                </w:div>
                <w:div w:id="2114937000">
                  <w:marLeft w:val="0"/>
                  <w:marRight w:val="0"/>
                  <w:marTop w:val="0"/>
                  <w:marBottom w:val="0"/>
                  <w:divBdr>
                    <w:top w:val="none" w:sz="0" w:space="0" w:color="auto"/>
                    <w:left w:val="none" w:sz="0" w:space="0" w:color="auto"/>
                    <w:bottom w:val="none" w:sz="0" w:space="0" w:color="auto"/>
                    <w:right w:val="none" w:sz="0" w:space="0" w:color="auto"/>
                  </w:divBdr>
                </w:div>
                <w:div w:id="743917799">
                  <w:marLeft w:val="0"/>
                  <w:marRight w:val="0"/>
                  <w:marTop w:val="0"/>
                  <w:marBottom w:val="0"/>
                  <w:divBdr>
                    <w:top w:val="none" w:sz="0" w:space="0" w:color="auto"/>
                    <w:left w:val="none" w:sz="0" w:space="0" w:color="auto"/>
                    <w:bottom w:val="none" w:sz="0" w:space="0" w:color="auto"/>
                    <w:right w:val="none" w:sz="0" w:space="0" w:color="auto"/>
                  </w:divBdr>
                </w:div>
                <w:div w:id="1605764439">
                  <w:marLeft w:val="0"/>
                  <w:marRight w:val="0"/>
                  <w:marTop w:val="0"/>
                  <w:marBottom w:val="0"/>
                  <w:divBdr>
                    <w:top w:val="none" w:sz="0" w:space="0" w:color="auto"/>
                    <w:left w:val="none" w:sz="0" w:space="0" w:color="auto"/>
                    <w:bottom w:val="none" w:sz="0" w:space="0" w:color="auto"/>
                    <w:right w:val="none" w:sz="0" w:space="0" w:color="auto"/>
                  </w:divBdr>
                </w:div>
                <w:div w:id="1421096916">
                  <w:marLeft w:val="0"/>
                  <w:marRight w:val="0"/>
                  <w:marTop w:val="0"/>
                  <w:marBottom w:val="0"/>
                  <w:divBdr>
                    <w:top w:val="none" w:sz="0" w:space="0" w:color="auto"/>
                    <w:left w:val="none" w:sz="0" w:space="0" w:color="auto"/>
                    <w:bottom w:val="none" w:sz="0" w:space="0" w:color="auto"/>
                    <w:right w:val="none" w:sz="0" w:space="0" w:color="auto"/>
                  </w:divBdr>
                </w:div>
                <w:div w:id="1332952851">
                  <w:marLeft w:val="0"/>
                  <w:marRight w:val="0"/>
                  <w:marTop w:val="0"/>
                  <w:marBottom w:val="0"/>
                  <w:divBdr>
                    <w:top w:val="none" w:sz="0" w:space="0" w:color="auto"/>
                    <w:left w:val="none" w:sz="0" w:space="0" w:color="auto"/>
                    <w:bottom w:val="none" w:sz="0" w:space="0" w:color="auto"/>
                    <w:right w:val="none" w:sz="0" w:space="0" w:color="auto"/>
                  </w:divBdr>
                </w:div>
                <w:div w:id="1508591253">
                  <w:marLeft w:val="0"/>
                  <w:marRight w:val="0"/>
                  <w:marTop w:val="0"/>
                  <w:marBottom w:val="0"/>
                  <w:divBdr>
                    <w:top w:val="none" w:sz="0" w:space="0" w:color="auto"/>
                    <w:left w:val="none" w:sz="0" w:space="0" w:color="auto"/>
                    <w:bottom w:val="none" w:sz="0" w:space="0" w:color="auto"/>
                    <w:right w:val="none" w:sz="0" w:space="0" w:color="auto"/>
                  </w:divBdr>
                </w:div>
                <w:div w:id="1357656087">
                  <w:marLeft w:val="0"/>
                  <w:marRight w:val="0"/>
                  <w:marTop w:val="0"/>
                  <w:marBottom w:val="0"/>
                  <w:divBdr>
                    <w:top w:val="none" w:sz="0" w:space="0" w:color="auto"/>
                    <w:left w:val="none" w:sz="0" w:space="0" w:color="auto"/>
                    <w:bottom w:val="none" w:sz="0" w:space="0" w:color="auto"/>
                    <w:right w:val="none" w:sz="0" w:space="0" w:color="auto"/>
                  </w:divBdr>
                </w:div>
                <w:div w:id="128859032">
                  <w:marLeft w:val="0"/>
                  <w:marRight w:val="0"/>
                  <w:marTop w:val="0"/>
                  <w:marBottom w:val="0"/>
                  <w:divBdr>
                    <w:top w:val="none" w:sz="0" w:space="0" w:color="auto"/>
                    <w:left w:val="none" w:sz="0" w:space="0" w:color="auto"/>
                    <w:bottom w:val="none" w:sz="0" w:space="0" w:color="auto"/>
                    <w:right w:val="none" w:sz="0" w:space="0" w:color="auto"/>
                  </w:divBdr>
                </w:div>
                <w:div w:id="1453674362">
                  <w:marLeft w:val="0"/>
                  <w:marRight w:val="0"/>
                  <w:marTop w:val="0"/>
                  <w:marBottom w:val="0"/>
                  <w:divBdr>
                    <w:top w:val="none" w:sz="0" w:space="0" w:color="auto"/>
                    <w:left w:val="none" w:sz="0" w:space="0" w:color="auto"/>
                    <w:bottom w:val="none" w:sz="0" w:space="0" w:color="auto"/>
                    <w:right w:val="none" w:sz="0" w:space="0" w:color="auto"/>
                  </w:divBdr>
                </w:div>
                <w:div w:id="164320535">
                  <w:marLeft w:val="0"/>
                  <w:marRight w:val="0"/>
                  <w:marTop w:val="0"/>
                  <w:marBottom w:val="0"/>
                  <w:divBdr>
                    <w:top w:val="none" w:sz="0" w:space="0" w:color="auto"/>
                    <w:left w:val="none" w:sz="0" w:space="0" w:color="auto"/>
                    <w:bottom w:val="none" w:sz="0" w:space="0" w:color="auto"/>
                    <w:right w:val="none" w:sz="0" w:space="0" w:color="auto"/>
                  </w:divBdr>
                </w:div>
                <w:div w:id="2109428499">
                  <w:marLeft w:val="0"/>
                  <w:marRight w:val="0"/>
                  <w:marTop w:val="0"/>
                  <w:marBottom w:val="0"/>
                  <w:divBdr>
                    <w:top w:val="none" w:sz="0" w:space="0" w:color="auto"/>
                    <w:left w:val="none" w:sz="0" w:space="0" w:color="auto"/>
                    <w:bottom w:val="none" w:sz="0" w:space="0" w:color="auto"/>
                    <w:right w:val="none" w:sz="0" w:space="0" w:color="auto"/>
                  </w:divBdr>
                </w:div>
                <w:div w:id="770660715">
                  <w:marLeft w:val="0"/>
                  <w:marRight w:val="0"/>
                  <w:marTop w:val="0"/>
                  <w:marBottom w:val="0"/>
                  <w:divBdr>
                    <w:top w:val="none" w:sz="0" w:space="0" w:color="auto"/>
                    <w:left w:val="none" w:sz="0" w:space="0" w:color="auto"/>
                    <w:bottom w:val="none" w:sz="0" w:space="0" w:color="auto"/>
                    <w:right w:val="none" w:sz="0" w:space="0" w:color="auto"/>
                  </w:divBdr>
                </w:div>
                <w:div w:id="2078505093">
                  <w:marLeft w:val="0"/>
                  <w:marRight w:val="0"/>
                  <w:marTop w:val="0"/>
                  <w:marBottom w:val="0"/>
                  <w:divBdr>
                    <w:top w:val="none" w:sz="0" w:space="0" w:color="auto"/>
                    <w:left w:val="none" w:sz="0" w:space="0" w:color="auto"/>
                    <w:bottom w:val="none" w:sz="0" w:space="0" w:color="auto"/>
                    <w:right w:val="none" w:sz="0" w:space="0" w:color="auto"/>
                  </w:divBdr>
                </w:div>
                <w:div w:id="844631014">
                  <w:marLeft w:val="0"/>
                  <w:marRight w:val="0"/>
                  <w:marTop w:val="0"/>
                  <w:marBottom w:val="0"/>
                  <w:divBdr>
                    <w:top w:val="none" w:sz="0" w:space="0" w:color="auto"/>
                    <w:left w:val="none" w:sz="0" w:space="0" w:color="auto"/>
                    <w:bottom w:val="none" w:sz="0" w:space="0" w:color="auto"/>
                    <w:right w:val="none" w:sz="0" w:space="0" w:color="auto"/>
                  </w:divBdr>
                </w:div>
                <w:div w:id="236285527">
                  <w:marLeft w:val="0"/>
                  <w:marRight w:val="0"/>
                  <w:marTop w:val="0"/>
                  <w:marBottom w:val="0"/>
                  <w:divBdr>
                    <w:top w:val="none" w:sz="0" w:space="0" w:color="auto"/>
                    <w:left w:val="none" w:sz="0" w:space="0" w:color="auto"/>
                    <w:bottom w:val="none" w:sz="0" w:space="0" w:color="auto"/>
                    <w:right w:val="none" w:sz="0" w:space="0" w:color="auto"/>
                  </w:divBdr>
                </w:div>
                <w:div w:id="460809369">
                  <w:marLeft w:val="0"/>
                  <w:marRight w:val="0"/>
                  <w:marTop w:val="0"/>
                  <w:marBottom w:val="0"/>
                  <w:divBdr>
                    <w:top w:val="none" w:sz="0" w:space="0" w:color="auto"/>
                    <w:left w:val="none" w:sz="0" w:space="0" w:color="auto"/>
                    <w:bottom w:val="none" w:sz="0" w:space="0" w:color="auto"/>
                    <w:right w:val="none" w:sz="0" w:space="0" w:color="auto"/>
                  </w:divBdr>
                </w:div>
                <w:div w:id="1572042153">
                  <w:marLeft w:val="0"/>
                  <w:marRight w:val="0"/>
                  <w:marTop w:val="0"/>
                  <w:marBottom w:val="0"/>
                  <w:divBdr>
                    <w:top w:val="none" w:sz="0" w:space="0" w:color="auto"/>
                    <w:left w:val="none" w:sz="0" w:space="0" w:color="auto"/>
                    <w:bottom w:val="none" w:sz="0" w:space="0" w:color="auto"/>
                    <w:right w:val="none" w:sz="0" w:space="0" w:color="auto"/>
                  </w:divBdr>
                </w:div>
                <w:div w:id="189147227">
                  <w:marLeft w:val="0"/>
                  <w:marRight w:val="0"/>
                  <w:marTop w:val="0"/>
                  <w:marBottom w:val="0"/>
                  <w:divBdr>
                    <w:top w:val="none" w:sz="0" w:space="0" w:color="auto"/>
                    <w:left w:val="none" w:sz="0" w:space="0" w:color="auto"/>
                    <w:bottom w:val="none" w:sz="0" w:space="0" w:color="auto"/>
                    <w:right w:val="none" w:sz="0" w:space="0" w:color="auto"/>
                  </w:divBdr>
                </w:div>
                <w:div w:id="1007633371">
                  <w:marLeft w:val="0"/>
                  <w:marRight w:val="0"/>
                  <w:marTop w:val="0"/>
                  <w:marBottom w:val="0"/>
                  <w:divBdr>
                    <w:top w:val="none" w:sz="0" w:space="0" w:color="auto"/>
                    <w:left w:val="none" w:sz="0" w:space="0" w:color="auto"/>
                    <w:bottom w:val="none" w:sz="0" w:space="0" w:color="auto"/>
                    <w:right w:val="none" w:sz="0" w:space="0" w:color="auto"/>
                  </w:divBdr>
                </w:div>
                <w:div w:id="1071923913">
                  <w:marLeft w:val="0"/>
                  <w:marRight w:val="0"/>
                  <w:marTop w:val="0"/>
                  <w:marBottom w:val="0"/>
                  <w:divBdr>
                    <w:top w:val="none" w:sz="0" w:space="0" w:color="auto"/>
                    <w:left w:val="none" w:sz="0" w:space="0" w:color="auto"/>
                    <w:bottom w:val="none" w:sz="0" w:space="0" w:color="auto"/>
                    <w:right w:val="none" w:sz="0" w:space="0" w:color="auto"/>
                  </w:divBdr>
                </w:div>
              </w:divsChild>
            </w:div>
            <w:div w:id="7890567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0082996">
      <w:bodyDiv w:val="1"/>
      <w:marLeft w:val="0"/>
      <w:marRight w:val="0"/>
      <w:marTop w:val="0"/>
      <w:marBottom w:val="0"/>
      <w:divBdr>
        <w:top w:val="none" w:sz="0" w:space="0" w:color="auto"/>
        <w:left w:val="none" w:sz="0" w:space="0" w:color="auto"/>
        <w:bottom w:val="none" w:sz="0" w:space="0" w:color="auto"/>
        <w:right w:val="none" w:sz="0" w:space="0" w:color="auto"/>
      </w:divBdr>
    </w:div>
    <w:div w:id="410347517">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11975985">
      <w:bodyDiv w:val="1"/>
      <w:marLeft w:val="0"/>
      <w:marRight w:val="0"/>
      <w:marTop w:val="0"/>
      <w:marBottom w:val="0"/>
      <w:divBdr>
        <w:top w:val="none" w:sz="0" w:space="0" w:color="auto"/>
        <w:left w:val="none" w:sz="0" w:space="0" w:color="auto"/>
        <w:bottom w:val="none" w:sz="0" w:space="0" w:color="auto"/>
        <w:right w:val="none" w:sz="0" w:space="0" w:color="auto"/>
      </w:divBdr>
    </w:div>
    <w:div w:id="417024897">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26005067">
      <w:bodyDiv w:val="1"/>
      <w:marLeft w:val="0"/>
      <w:marRight w:val="0"/>
      <w:marTop w:val="0"/>
      <w:marBottom w:val="0"/>
      <w:divBdr>
        <w:top w:val="none" w:sz="0" w:space="0" w:color="auto"/>
        <w:left w:val="none" w:sz="0" w:space="0" w:color="auto"/>
        <w:bottom w:val="none" w:sz="0" w:space="0" w:color="auto"/>
        <w:right w:val="none" w:sz="0" w:space="0" w:color="auto"/>
      </w:divBdr>
    </w:div>
    <w:div w:id="426998613">
      <w:bodyDiv w:val="1"/>
      <w:marLeft w:val="0"/>
      <w:marRight w:val="0"/>
      <w:marTop w:val="0"/>
      <w:marBottom w:val="0"/>
      <w:divBdr>
        <w:top w:val="none" w:sz="0" w:space="0" w:color="auto"/>
        <w:left w:val="none" w:sz="0" w:space="0" w:color="auto"/>
        <w:bottom w:val="none" w:sz="0" w:space="0" w:color="auto"/>
        <w:right w:val="none" w:sz="0" w:space="0" w:color="auto"/>
      </w:divBdr>
    </w:div>
    <w:div w:id="428502841">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0852970">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3236574">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68941014">
      <w:bodyDiv w:val="1"/>
      <w:marLeft w:val="0"/>
      <w:marRight w:val="0"/>
      <w:marTop w:val="0"/>
      <w:marBottom w:val="0"/>
      <w:divBdr>
        <w:top w:val="none" w:sz="0" w:space="0" w:color="auto"/>
        <w:left w:val="none" w:sz="0" w:space="0" w:color="auto"/>
        <w:bottom w:val="none" w:sz="0" w:space="0" w:color="auto"/>
        <w:right w:val="none" w:sz="0" w:space="0" w:color="auto"/>
      </w:divBdr>
    </w:div>
    <w:div w:id="472064670">
      <w:bodyDiv w:val="1"/>
      <w:marLeft w:val="0"/>
      <w:marRight w:val="0"/>
      <w:marTop w:val="0"/>
      <w:marBottom w:val="0"/>
      <w:divBdr>
        <w:top w:val="none" w:sz="0" w:space="0" w:color="auto"/>
        <w:left w:val="none" w:sz="0" w:space="0" w:color="auto"/>
        <w:bottom w:val="none" w:sz="0" w:space="0" w:color="auto"/>
        <w:right w:val="none" w:sz="0" w:space="0" w:color="auto"/>
      </w:divBdr>
      <w:divsChild>
        <w:div w:id="360976809">
          <w:marLeft w:val="0"/>
          <w:marRight w:val="0"/>
          <w:marTop w:val="0"/>
          <w:marBottom w:val="0"/>
          <w:divBdr>
            <w:top w:val="none" w:sz="0" w:space="0" w:color="auto"/>
            <w:left w:val="none" w:sz="0" w:space="0" w:color="auto"/>
            <w:bottom w:val="none" w:sz="0" w:space="0" w:color="auto"/>
            <w:right w:val="none" w:sz="0" w:space="0" w:color="auto"/>
          </w:divBdr>
        </w:div>
      </w:divsChild>
    </w:div>
    <w:div w:id="473302494">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2432721">
      <w:bodyDiv w:val="1"/>
      <w:marLeft w:val="0"/>
      <w:marRight w:val="0"/>
      <w:marTop w:val="0"/>
      <w:marBottom w:val="0"/>
      <w:divBdr>
        <w:top w:val="none" w:sz="0" w:space="0" w:color="auto"/>
        <w:left w:val="none" w:sz="0" w:space="0" w:color="auto"/>
        <w:bottom w:val="none" w:sz="0" w:space="0" w:color="auto"/>
        <w:right w:val="none" w:sz="0" w:space="0" w:color="auto"/>
      </w:divBdr>
    </w:div>
    <w:div w:id="486240805">
      <w:bodyDiv w:val="1"/>
      <w:marLeft w:val="0"/>
      <w:marRight w:val="0"/>
      <w:marTop w:val="0"/>
      <w:marBottom w:val="0"/>
      <w:divBdr>
        <w:top w:val="none" w:sz="0" w:space="0" w:color="auto"/>
        <w:left w:val="none" w:sz="0" w:space="0" w:color="auto"/>
        <w:bottom w:val="none" w:sz="0" w:space="0" w:color="auto"/>
        <w:right w:val="none" w:sz="0" w:space="0" w:color="auto"/>
      </w:divBdr>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88908477">
      <w:bodyDiv w:val="1"/>
      <w:marLeft w:val="0"/>
      <w:marRight w:val="0"/>
      <w:marTop w:val="0"/>
      <w:marBottom w:val="0"/>
      <w:divBdr>
        <w:top w:val="none" w:sz="0" w:space="0" w:color="auto"/>
        <w:left w:val="none" w:sz="0" w:space="0" w:color="auto"/>
        <w:bottom w:val="none" w:sz="0" w:space="0" w:color="auto"/>
        <w:right w:val="none" w:sz="0" w:space="0" w:color="auto"/>
      </w:divBdr>
    </w:div>
    <w:div w:id="489905044">
      <w:bodyDiv w:val="1"/>
      <w:marLeft w:val="0"/>
      <w:marRight w:val="0"/>
      <w:marTop w:val="0"/>
      <w:marBottom w:val="0"/>
      <w:divBdr>
        <w:top w:val="none" w:sz="0" w:space="0" w:color="auto"/>
        <w:left w:val="none" w:sz="0" w:space="0" w:color="auto"/>
        <w:bottom w:val="none" w:sz="0" w:space="0" w:color="auto"/>
        <w:right w:val="none" w:sz="0" w:space="0" w:color="auto"/>
      </w:divBdr>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492187939">
      <w:bodyDiv w:val="1"/>
      <w:marLeft w:val="0"/>
      <w:marRight w:val="0"/>
      <w:marTop w:val="0"/>
      <w:marBottom w:val="0"/>
      <w:divBdr>
        <w:top w:val="none" w:sz="0" w:space="0" w:color="auto"/>
        <w:left w:val="none" w:sz="0" w:space="0" w:color="auto"/>
        <w:bottom w:val="none" w:sz="0" w:space="0" w:color="auto"/>
        <w:right w:val="none" w:sz="0" w:space="0" w:color="auto"/>
      </w:divBdr>
    </w:div>
    <w:div w:id="497162191">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5118268">
      <w:bodyDiv w:val="1"/>
      <w:marLeft w:val="0"/>
      <w:marRight w:val="0"/>
      <w:marTop w:val="0"/>
      <w:marBottom w:val="0"/>
      <w:divBdr>
        <w:top w:val="none" w:sz="0" w:space="0" w:color="auto"/>
        <w:left w:val="none" w:sz="0" w:space="0" w:color="auto"/>
        <w:bottom w:val="none" w:sz="0" w:space="0" w:color="auto"/>
        <w:right w:val="none" w:sz="0" w:space="0" w:color="auto"/>
      </w:divBdr>
      <w:divsChild>
        <w:div w:id="230584479">
          <w:marLeft w:val="0"/>
          <w:marRight w:val="0"/>
          <w:marTop w:val="0"/>
          <w:marBottom w:val="0"/>
          <w:divBdr>
            <w:top w:val="none" w:sz="0" w:space="0" w:color="auto"/>
            <w:left w:val="none" w:sz="0" w:space="0" w:color="auto"/>
            <w:bottom w:val="none" w:sz="0" w:space="0" w:color="auto"/>
            <w:right w:val="none" w:sz="0" w:space="0" w:color="auto"/>
          </w:divBdr>
        </w:div>
        <w:div w:id="1619531013">
          <w:marLeft w:val="0"/>
          <w:marRight w:val="0"/>
          <w:marTop w:val="0"/>
          <w:marBottom w:val="0"/>
          <w:divBdr>
            <w:top w:val="none" w:sz="0" w:space="0" w:color="auto"/>
            <w:left w:val="none" w:sz="0" w:space="0" w:color="auto"/>
            <w:bottom w:val="none" w:sz="0" w:space="0" w:color="auto"/>
            <w:right w:val="none" w:sz="0" w:space="0" w:color="auto"/>
          </w:divBdr>
        </w:div>
        <w:div w:id="1834177559">
          <w:marLeft w:val="0"/>
          <w:marRight w:val="0"/>
          <w:marTop w:val="0"/>
          <w:marBottom w:val="0"/>
          <w:divBdr>
            <w:top w:val="none" w:sz="0" w:space="0" w:color="auto"/>
            <w:left w:val="none" w:sz="0" w:space="0" w:color="auto"/>
            <w:bottom w:val="none" w:sz="0" w:space="0" w:color="auto"/>
            <w:right w:val="none" w:sz="0" w:space="0" w:color="auto"/>
          </w:divBdr>
        </w:div>
      </w:divsChild>
    </w:div>
    <w:div w:id="515970305">
      <w:bodyDiv w:val="1"/>
      <w:marLeft w:val="0"/>
      <w:marRight w:val="0"/>
      <w:marTop w:val="0"/>
      <w:marBottom w:val="0"/>
      <w:divBdr>
        <w:top w:val="none" w:sz="0" w:space="0" w:color="auto"/>
        <w:left w:val="none" w:sz="0" w:space="0" w:color="auto"/>
        <w:bottom w:val="none" w:sz="0" w:space="0" w:color="auto"/>
        <w:right w:val="none" w:sz="0" w:space="0" w:color="auto"/>
      </w:divBdr>
    </w:div>
    <w:div w:id="517426340">
      <w:bodyDiv w:val="1"/>
      <w:marLeft w:val="0"/>
      <w:marRight w:val="0"/>
      <w:marTop w:val="0"/>
      <w:marBottom w:val="0"/>
      <w:divBdr>
        <w:top w:val="none" w:sz="0" w:space="0" w:color="auto"/>
        <w:left w:val="none" w:sz="0" w:space="0" w:color="auto"/>
        <w:bottom w:val="none" w:sz="0" w:space="0" w:color="auto"/>
        <w:right w:val="none" w:sz="0" w:space="0" w:color="auto"/>
      </w:divBdr>
    </w:div>
    <w:div w:id="518274801">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38860251">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094693">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635321">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0098083">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67417952">
      <w:bodyDiv w:val="1"/>
      <w:marLeft w:val="0"/>
      <w:marRight w:val="0"/>
      <w:marTop w:val="0"/>
      <w:marBottom w:val="0"/>
      <w:divBdr>
        <w:top w:val="none" w:sz="0" w:space="0" w:color="auto"/>
        <w:left w:val="none" w:sz="0" w:space="0" w:color="auto"/>
        <w:bottom w:val="none" w:sz="0" w:space="0" w:color="auto"/>
        <w:right w:val="none" w:sz="0" w:space="0" w:color="auto"/>
      </w:divBdr>
      <w:divsChild>
        <w:div w:id="501362979">
          <w:marLeft w:val="0"/>
          <w:marRight w:val="0"/>
          <w:marTop w:val="0"/>
          <w:marBottom w:val="0"/>
          <w:divBdr>
            <w:top w:val="none" w:sz="0" w:space="0" w:color="auto"/>
            <w:left w:val="none" w:sz="0" w:space="0" w:color="auto"/>
            <w:bottom w:val="none" w:sz="0" w:space="0" w:color="auto"/>
            <w:right w:val="none" w:sz="0" w:space="0" w:color="auto"/>
          </w:divBdr>
        </w:div>
        <w:div w:id="1112433947">
          <w:marLeft w:val="0"/>
          <w:marRight w:val="0"/>
          <w:marTop w:val="0"/>
          <w:marBottom w:val="0"/>
          <w:divBdr>
            <w:top w:val="none" w:sz="0" w:space="0" w:color="auto"/>
            <w:left w:val="none" w:sz="0" w:space="0" w:color="auto"/>
            <w:bottom w:val="none" w:sz="0" w:space="0" w:color="auto"/>
            <w:right w:val="none" w:sz="0" w:space="0" w:color="auto"/>
          </w:divBdr>
        </w:div>
        <w:div w:id="1403676520">
          <w:marLeft w:val="0"/>
          <w:marRight w:val="0"/>
          <w:marTop w:val="0"/>
          <w:marBottom w:val="0"/>
          <w:divBdr>
            <w:top w:val="none" w:sz="0" w:space="0" w:color="auto"/>
            <w:left w:val="none" w:sz="0" w:space="0" w:color="auto"/>
            <w:bottom w:val="none" w:sz="0" w:space="0" w:color="auto"/>
            <w:right w:val="none" w:sz="0" w:space="0" w:color="auto"/>
          </w:divBdr>
        </w:div>
        <w:div w:id="1896623573">
          <w:marLeft w:val="0"/>
          <w:marRight w:val="0"/>
          <w:marTop w:val="0"/>
          <w:marBottom w:val="0"/>
          <w:divBdr>
            <w:top w:val="none" w:sz="0" w:space="0" w:color="auto"/>
            <w:left w:val="none" w:sz="0" w:space="0" w:color="auto"/>
            <w:bottom w:val="none" w:sz="0" w:space="0" w:color="auto"/>
            <w:right w:val="none" w:sz="0" w:space="0" w:color="auto"/>
          </w:divBdr>
        </w:div>
        <w:div w:id="2043938609">
          <w:marLeft w:val="0"/>
          <w:marRight w:val="0"/>
          <w:marTop w:val="0"/>
          <w:marBottom w:val="0"/>
          <w:divBdr>
            <w:top w:val="none" w:sz="0" w:space="0" w:color="auto"/>
            <w:left w:val="none" w:sz="0" w:space="0" w:color="auto"/>
            <w:bottom w:val="none" w:sz="0" w:space="0" w:color="auto"/>
            <w:right w:val="none" w:sz="0" w:space="0" w:color="auto"/>
          </w:divBdr>
          <w:divsChild>
            <w:div w:id="19116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925">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72738019">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5214173">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5208880">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0722976">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2248516">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4680455">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24240536">
      <w:bodyDiv w:val="1"/>
      <w:marLeft w:val="0"/>
      <w:marRight w:val="0"/>
      <w:marTop w:val="0"/>
      <w:marBottom w:val="0"/>
      <w:divBdr>
        <w:top w:val="none" w:sz="0" w:space="0" w:color="auto"/>
        <w:left w:val="none" w:sz="0" w:space="0" w:color="auto"/>
        <w:bottom w:val="none" w:sz="0" w:space="0" w:color="auto"/>
        <w:right w:val="none" w:sz="0" w:space="0" w:color="auto"/>
      </w:divBdr>
    </w:div>
    <w:div w:id="629866716">
      <w:bodyDiv w:val="1"/>
      <w:marLeft w:val="0"/>
      <w:marRight w:val="0"/>
      <w:marTop w:val="0"/>
      <w:marBottom w:val="0"/>
      <w:divBdr>
        <w:top w:val="none" w:sz="0" w:space="0" w:color="auto"/>
        <w:left w:val="none" w:sz="0" w:space="0" w:color="auto"/>
        <w:bottom w:val="none" w:sz="0" w:space="0" w:color="auto"/>
        <w:right w:val="none" w:sz="0" w:space="0" w:color="auto"/>
      </w:divBdr>
      <w:divsChild>
        <w:div w:id="255134772">
          <w:marLeft w:val="0"/>
          <w:marRight w:val="0"/>
          <w:marTop w:val="0"/>
          <w:marBottom w:val="0"/>
          <w:divBdr>
            <w:top w:val="none" w:sz="0" w:space="0" w:color="auto"/>
            <w:left w:val="none" w:sz="0" w:space="0" w:color="auto"/>
            <w:bottom w:val="none" w:sz="0" w:space="0" w:color="auto"/>
            <w:right w:val="none" w:sz="0" w:space="0" w:color="auto"/>
          </w:divBdr>
          <w:divsChild>
            <w:div w:id="981889563">
              <w:marLeft w:val="0"/>
              <w:marRight w:val="0"/>
              <w:marTop w:val="0"/>
              <w:marBottom w:val="240"/>
              <w:divBdr>
                <w:top w:val="none" w:sz="0" w:space="0" w:color="auto"/>
                <w:left w:val="none" w:sz="0" w:space="0" w:color="auto"/>
                <w:bottom w:val="none" w:sz="0" w:space="0" w:color="auto"/>
                <w:right w:val="none" w:sz="0" w:space="0" w:color="auto"/>
              </w:divBdr>
            </w:div>
          </w:divsChild>
        </w:div>
        <w:div w:id="894853064">
          <w:marLeft w:val="0"/>
          <w:marRight w:val="0"/>
          <w:marTop w:val="0"/>
          <w:marBottom w:val="0"/>
          <w:divBdr>
            <w:top w:val="none" w:sz="0" w:space="0" w:color="auto"/>
            <w:left w:val="none" w:sz="0" w:space="0" w:color="auto"/>
            <w:bottom w:val="none" w:sz="0" w:space="0" w:color="auto"/>
            <w:right w:val="none" w:sz="0" w:space="0" w:color="auto"/>
          </w:divBdr>
          <w:divsChild>
            <w:div w:id="1146780919">
              <w:marLeft w:val="0"/>
              <w:marRight w:val="0"/>
              <w:marTop w:val="0"/>
              <w:marBottom w:val="240"/>
              <w:divBdr>
                <w:top w:val="none" w:sz="0" w:space="0" w:color="auto"/>
                <w:left w:val="none" w:sz="0" w:space="0" w:color="auto"/>
                <w:bottom w:val="none" w:sz="0" w:space="0" w:color="auto"/>
                <w:right w:val="none" w:sz="0" w:space="0" w:color="auto"/>
              </w:divBdr>
            </w:div>
          </w:divsChild>
        </w:div>
        <w:div w:id="1186019033">
          <w:marLeft w:val="0"/>
          <w:marRight w:val="0"/>
          <w:marTop w:val="0"/>
          <w:marBottom w:val="0"/>
          <w:divBdr>
            <w:top w:val="none" w:sz="0" w:space="0" w:color="auto"/>
            <w:left w:val="none" w:sz="0" w:space="0" w:color="auto"/>
            <w:bottom w:val="none" w:sz="0" w:space="0" w:color="auto"/>
            <w:right w:val="none" w:sz="0" w:space="0" w:color="auto"/>
          </w:divBdr>
          <w:divsChild>
            <w:div w:id="867451507">
              <w:marLeft w:val="0"/>
              <w:marRight w:val="0"/>
              <w:marTop w:val="0"/>
              <w:marBottom w:val="240"/>
              <w:divBdr>
                <w:top w:val="none" w:sz="0" w:space="0" w:color="auto"/>
                <w:left w:val="none" w:sz="0" w:space="0" w:color="auto"/>
                <w:bottom w:val="none" w:sz="0" w:space="0" w:color="auto"/>
                <w:right w:val="none" w:sz="0" w:space="0" w:color="auto"/>
              </w:divBdr>
            </w:div>
          </w:divsChild>
        </w:div>
        <w:div w:id="1758014388">
          <w:marLeft w:val="0"/>
          <w:marRight w:val="0"/>
          <w:marTop w:val="0"/>
          <w:marBottom w:val="0"/>
          <w:divBdr>
            <w:top w:val="none" w:sz="0" w:space="0" w:color="auto"/>
            <w:left w:val="none" w:sz="0" w:space="0" w:color="auto"/>
            <w:bottom w:val="none" w:sz="0" w:space="0" w:color="auto"/>
            <w:right w:val="none" w:sz="0" w:space="0" w:color="auto"/>
          </w:divBdr>
          <w:divsChild>
            <w:div w:id="460005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0860924">
      <w:bodyDiv w:val="1"/>
      <w:marLeft w:val="0"/>
      <w:marRight w:val="0"/>
      <w:marTop w:val="0"/>
      <w:marBottom w:val="0"/>
      <w:divBdr>
        <w:top w:val="none" w:sz="0" w:space="0" w:color="auto"/>
        <w:left w:val="none" w:sz="0" w:space="0" w:color="auto"/>
        <w:bottom w:val="none" w:sz="0" w:space="0" w:color="auto"/>
        <w:right w:val="none" w:sz="0" w:space="0" w:color="auto"/>
      </w:divBdr>
      <w:divsChild>
        <w:div w:id="824593207">
          <w:marLeft w:val="0"/>
          <w:marRight w:val="0"/>
          <w:marTop w:val="0"/>
          <w:marBottom w:val="0"/>
          <w:divBdr>
            <w:top w:val="none" w:sz="0" w:space="0" w:color="auto"/>
            <w:left w:val="none" w:sz="0" w:space="0" w:color="auto"/>
            <w:bottom w:val="none" w:sz="0" w:space="0" w:color="auto"/>
            <w:right w:val="none" w:sz="0" w:space="0" w:color="auto"/>
          </w:divBdr>
        </w:div>
      </w:divsChild>
    </w:div>
    <w:div w:id="631057791">
      <w:bodyDiv w:val="1"/>
      <w:marLeft w:val="0"/>
      <w:marRight w:val="0"/>
      <w:marTop w:val="0"/>
      <w:marBottom w:val="0"/>
      <w:divBdr>
        <w:top w:val="none" w:sz="0" w:space="0" w:color="auto"/>
        <w:left w:val="none" w:sz="0" w:space="0" w:color="auto"/>
        <w:bottom w:val="none" w:sz="0" w:space="0" w:color="auto"/>
        <w:right w:val="none" w:sz="0" w:space="0" w:color="auto"/>
      </w:divBdr>
    </w:div>
    <w:div w:id="637760299">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39649021">
      <w:bodyDiv w:val="1"/>
      <w:marLeft w:val="0"/>
      <w:marRight w:val="0"/>
      <w:marTop w:val="0"/>
      <w:marBottom w:val="0"/>
      <w:divBdr>
        <w:top w:val="none" w:sz="0" w:space="0" w:color="auto"/>
        <w:left w:val="none" w:sz="0" w:space="0" w:color="auto"/>
        <w:bottom w:val="none" w:sz="0" w:space="0" w:color="auto"/>
        <w:right w:val="none" w:sz="0" w:space="0" w:color="auto"/>
      </w:divBdr>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95248164">
          <w:marLeft w:val="0"/>
          <w:marRight w:val="0"/>
          <w:marTop w:val="0"/>
          <w:marBottom w:val="0"/>
          <w:divBdr>
            <w:top w:val="none" w:sz="0" w:space="0" w:color="auto"/>
            <w:left w:val="none" w:sz="0" w:space="0" w:color="auto"/>
            <w:bottom w:val="none" w:sz="0" w:space="0" w:color="auto"/>
            <w:right w:val="none" w:sz="0" w:space="0" w:color="auto"/>
          </w:divBdr>
        </w:div>
        <w:div w:id="268589685">
          <w:marLeft w:val="0"/>
          <w:marRight w:val="0"/>
          <w:marTop w:val="0"/>
          <w:marBottom w:val="0"/>
          <w:divBdr>
            <w:top w:val="none" w:sz="0" w:space="0" w:color="auto"/>
            <w:left w:val="none" w:sz="0" w:space="0" w:color="auto"/>
            <w:bottom w:val="none" w:sz="0" w:space="0" w:color="auto"/>
            <w:right w:val="none" w:sz="0" w:space="0" w:color="auto"/>
          </w:divBdr>
        </w:div>
        <w:div w:id="743990910">
          <w:marLeft w:val="0"/>
          <w:marRight w:val="0"/>
          <w:marTop w:val="0"/>
          <w:marBottom w:val="0"/>
          <w:divBdr>
            <w:top w:val="none" w:sz="0" w:space="0" w:color="auto"/>
            <w:left w:val="none" w:sz="0" w:space="0" w:color="auto"/>
            <w:bottom w:val="none" w:sz="0" w:space="0" w:color="auto"/>
            <w:right w:val="none" w:sz="0" w:space="0" w:color="auto"/>
          </w:divBdr>
        </w:div>
        <w:div w:id="1077437566">
          <w:marLeft w:val="0"/>
          <w:marRight w:val="0"/>
          <w:marTop w:val="0"/>
          <w:marBottom w:val="0"/>
          <w:divBdr>
            <w:top w:val="none" w:sz="0" w:space="0" w:color="auto"/>
            <w:left w:val="none" w:sz="0" w:space="0" w:color="auto"/>
            <w:bottom w:val="none" w:sz="0" w:space="0" w:color="auto"/>
            <w:right w:val="none" w:sz="0" w:space="0" w:color="auto"/>
          </w:divBdr>
          <w:divsChild>
            <w:div w:id="84157120">
              <w:marLeft w:val="0"/>
              <w:marRight w:val="0"/>
              <w:marTop w:val="0"/>
              <w:marBottom w:val="0"/>
              <w:divBdr>
                <w:top w:val="none" w:sz="0" w:space="0" w:color="auto"/>
                <w:left w:val="none" w:sz="0" w:space="0" w:color="auto"/>
                <w:bottom w:val="none" w:sz="0" w:space="0" w:color="auto"/>
                <w:right w:val="none" w:sz="0" w:space="0" w:color="auto"/>
              </w:divBdr>
            </w:div>
          </w:divsChild>
        </w:div>
        <w:div w:id="1610626262">
          <w:marLeft w:val="0"/>
          <w:marRight w:val="0"/>
          <w:marTop w:val="0"/>
          <w:marBottom w:val="0"/>
          <w:divBdr>
            <w:top w:val="none" w:sz="0" w:space="0" w:color="auto"/>
            <w:left w:val="none" w:sz="0" w:space="0" w:color="auto"/>
            <w:bottom w:val="none" w:sz="0" w:space="0" w:color="auto"/>
            <w:right w:val="none" w:sz="0" w:space="0" w:color="auto"/>
          </w:divBdr>
        </w:div>
      </w:divsChild>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6884744">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4623801">
      <w:bodyDiv w:val="1"/>
      <w:marLeft w:val="0"/>
      <w:marRight w:val="0"/>
      <w:marTop w:val="0"/>
      <w:marBottom w:val="0"/>
      <w:divBdr>
        <w:top w:val="none" w:sz="0" w:space="0" w:color="auto"/>
        <w:left w:val="none" w:sz="0" w:space="0" w:color="auto"/>
        <w:bottom w:val="none" w:sz="0" w:space="0" w:color="auto"/>
        <w:right w:val="none" w:sz="0" w:space="0" w:color="auto"/>
      </w:divBdr>
      <w:divsChild>
        <w:div w:id="2135056181">
          <w:marLeft w:val="0"/>
          <w:marRight w:val="0"/>
          <w:marTop w:val="0"/>
          <w:marBottom w:val="0"/>
          <w:divBdr>
            <w:top w:val="none" w:sz="0" w:space="0" w:color="auto"/>
            <w:left w:val="none" w:sz="0" w:space="0" w:color="auto"/>
            <w:bottom w:val="none" w:sz="0" w:space="0" w:color="auto"/>
            <w:right w:val="none" w:sz="0" w:space="0" w:color="auto"/>
          </w:divBdr>
        </w:div>
      </w:divsChild>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67516087">
      <w:bodyDiv w:val="1"/>
      <w:marLeft w:val="0"/>
      <w:marRight w:val="0"/>
      <w:marTop w:val="0"/>
      <w:marBottom w:val="0"/>
      <w:divBdr>
        <w:top w:val="none" w:sz="0" w:space="0" w:color="auto"/>
        <w:left w:val="none" w:sz="0" w:space="0" w:color="auto"/>
        <w:bottom w:val="none" w:sz="0" w:space="0" w:color="auto"/>
        <w:right w:val="none" w:sz="0" w:space="0" w:color="auto"/>
      </w:divBdr>
    </w:div>
    <w:div w:id="668562870">
      <w:bodyDiv w:val="1"/>
      <w:marLeft w:val="0"/>
      <w:marRight w:val="0"/>
      <w:marTop w:val="0"/>
      <w:marBottom w:val="0"/>
      <w:divBdr>
        <w:top w:val="none" w:sz="0" w:space="0" w:color="auto"/>
        <w:left w:val="none" w:sz="0" w:space="0" w:color="auto"/>
        <w:bottom w:val="none" w:sz="0" w:space="0" w:color="auto"/>
        <w:right w:val="none" w:sz="0" w:space="0" w:color="auto"/>
      </w:divBdr>
    </w:div>
    <w:div w:id="674191299">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81855014">
      <w:bodyDiv w:val="1"/>
      <w:marLeft w:val="0"/>
      <w:marRight w:val="0"/>
      <w:marTop w:val="0"/>
      <w:marBottom w:val="0"/>
      <w:divBdr>
        <w:top w:val="none" w:sz="0" w:space="0" w:color="auto"/>
        <w:left w:val="none" w:sz="0" w:space="0" w:color="auto"/>
        <w:bottom w:val="none" w:sz="0" w:space="0" w:color="auto"/>
        <w:right w:val="none" w:sz="0" w:space="0" w:color="auto"/>
      </w:divBdr>
      <w:divsChild>
        <w:div w:id="1666779141">
          <w:marLeft w:val="0"/>
          <w:marRight w:val="0"/>
          <w:marTop w:val="0"/>
          <w:marBottom w:val="0"/>
          <w:divBdr>
            <w:top w:val="none" w:sz="0" w:space="0" w:color="auto"/>
            <w:left w:val="none" w:sz="0" w:space="0" w:color="auto"/>
            <w:bottom w:val="none" w:sz="0" w:space="0" w:color="auto"/>
            <w:right w:val="none" w:sz="0" w:space="0" w:color="auto"/>
          </w:divBdr>
        </w:div>
      </w:divsChild>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2650426">
      <w:bodyDiv w:val="1"/>
      <w:marLeft w:val="0"/>
      <w:marRight w:val="0"/>
      <w:marTop w:val="0"/>
      <w:marBottom w:val="0"/>
      <w:divBdr>
        <w:top w:val="none" w:sz="0" w:space="0" w:color="auto"/>
        <w:left w:val="none" w:sz="0" w:space="0" w:color="auto"/>
        <w:bottom w:val="none" w:sz="0" w:space="0" w:color="auto"/>
        <w:right w:val="none" w:sz="0" w:space="0" w:color="auto"/>
      </w:divBdr>
    </w:div>
    <w:div w:id="694844512">
      <w:bodyDiv w:val="1"/>
      <w:marLeft w:val="0"/>
      <w:marRight w:val="0"/>
      <w:marTop w:val="0"/>
      <w:marBottom w:val="0"/>
      <w:divBdr>
        <w:top w:val="none" w:sz="0" w:space="0" w:color="auto"/>
        <w:left w:val="none" w:sz="0" w:space="0" w:color="auto"/>
        <w:bottom w:val="none" w:sz="0" w:space="0" w:color="auto"/>
        <w:right w:val="none" w:sz="0" w:space="0" w:color="auto"/>
      </w:divBdr>
    </w:div>
    <w:div w:id="696467354">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2554430">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2072913">
      <w:bodyDiv w:val="1"/>
      <w:marLeft w:val="0"/>
      <w:marRight w:val="0"/>
      <w:marTop w:val="0"/>
      <w:marBottom w:val="0"/>
      <w:divBdr>
        <w:top w:val="none" w:sz="0" w:space="0" w:color="auto"/>
        <w:left w:val="none" w:sz="0" w:space="0" w:color="auto"/>
        <w:bottom w:val="none" w:sz="0" w:space="0" w:color="auto"/>
        <w:right w:val="none" w:sz="0" w:space="0" w:color="auto"/>
      </w:divBdr>
    </w:div>
    <w:div w:id="713500442">
      <w:bodyDiv w:val="1"/>
      <w:marLeft w:val="0"/>
      <w:marRight w:val="0"/>
      <w:marTop w:val="0"/>
      <w:marBottom w:val="0"/>
      <w:divBdr>
        <w:top w:val="none" w:sz="0" w:space="0" w:color="auto"/>
        <w:left w:val="none" w:sz="0" w:space="0" w:color="auto"/>
        <w:bottom w:val="none" w:sz="0" w:space="0" w:color="auto"/>
        <w:right w:val="none" w:sz="0" w:space="0" w:color="auto"/>
      </w:divBdr>
    </w:div>
    <w:div w:id="714695577">
      <w:bodyDiv w:val="1"/>
      <w:marLeft w:val="0"/>
      <w:marRight w:val="0"/>
      <w:marTop w:val="0"/>
      <w:marBottom w:val="0"/>
      <w:divBdr>
        <w:top w:val="none" w:sz="0" w:space="0" w:color="auto"/>
        <w:left w:val="none" w:sz="0" w:space="0" w:color="auto"/>
        <w:bottom w:val="none" w:sz="0" w:space="0" w:color="auto"/>
        <w:right w:val="none" w:sz="0" w:space="0" w:color="auto"/>
      </w:divBdr>
      <w:divsChild>
        <w:div w:id="149752952">
          <w:marLeft w:val="0"/>
          <w:marRight w:val="0"/>
          <w:marTop w:val="0"/>
          <w:marBottom w:val="0"/>
          <w:divBdr>
            <w:top w:val="none" w:sz="0" w:space="0" w:color="auto"/>
            <w:left w:val="none" w:sz="0" w:space="0" w:color="auto"/>
            <w:bottom w:val="none" w:sz="0" w:space="0" w:color="auto"/>
            <w:right w:val="none" w:sz="0" w:space="0" w:color="auto"/>
          </w:divBdr>
        </w:div>
        <w:div w:id="350301488">
          <w:marLeft w:val="0"/>
          <w:marRight w:val="0"/>
          <w:marTop w:val="0"/>
          <w:marBottom w:val="0"/>
          <w:divBdr>
            <w:top w:val="none" w:sz="0" w:space="0" w:color="auto"/>
            <w:left w:val="none" w:sz="0" w:space="0" w:color="auto"/>
            <w:bottom w:val="none" w:sz="0" w:space="0" w:color="auto"/>
            <w:right w:val="none" w:sz="0" w:space="0" w:color="auto"/>
          </w:divBdr>
        </w:div>
        <w:div w:id="429667495">
          <w:marLeft w:val="0"/>
          <w:marRight w:val="0"/>
          <w:marTop w:val="0"/>
          <w:marBottom w:val="0"/>
          <w:divBdr>
            <w:top w:val="none" w:sz="0" w:space="0" w:color="auto"/>
            <w:left w:val="none" w:sz="0" w:space="0" w:color="auto"/>
            <w:bottom w:val="none" w:sz="0" w:space="0" w:color="auto"/>
            <w:right w:val="none" w:sz="0" w:space="0" w:color="auto"/>
          </w:divBdr>
        </w:div>
        <w:div w:id="490875077">
          <w:marLeft w:val="0"/>
          <w:marRight w:val="0"/>
          <w:marTop w:val="0"/>
          <w:marBottom w:val="0"/>
          <w:divBdr>
            <w:top w:val="none" w:sz="0" w:space="0" w:color="auto"/>
            <w:left w:val="none" w:sz="0" w:space="0" w:color="auto"/>
            <w:bottom w:val="none" w:sz="0" w:space="0" w:color="auto"/>
            <w:right w:val="none" w:sz="0" w:space="0" w:color="auto"/>
          </w:divBdr>
        </w:div>
        <w:div w:id="662857586">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0"/>
          <w:marBottom w:val="0"/>
          <w:divBdr>
            <w:top w:val="none" w:sz="0" w:space="0" w:color="auto"/>
            <w:left w:val="none" w:sz="0" w:space="0" w:color="auto"/>
            <w:bottom w:val="none" w:sz="0" w:space="0" w:color="auto"/>
            <w:right w:val="none" w:sz="0" w:space="0" w:color="auto"/>
          </w:divBdr>
        </w:div>
      </w:divsChild>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0565141">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47967264">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8594">
      <w:bodyDiv w:val="1"/>
      <w:marLeft w:val="0"/>
      <w:marRight w:val="0"/>
      <w:marTop w:val="0"/>
      <w:marBottom w:val="0"/>
      <w:divBdr>
        <w:top w:val="none" w:sz="0" w:space="0" w:color="auto"/>
        <w:left w:val="none" w:sz="0" w:space="0" w:color="auto"/>
        <w:bottom w:val="none" w:sz="0" w:space="0" w:color="auto"/>
        <w:right w:val="none" w:sz="0" w:space="0" w:color="auto"/>
      </w:divBdr>
    </w:div>
    <w:div w:id="756440622">
      <w:bodyDiv w:val="1"/>
      <w:marLeft w:val="0"/>
      <w:marRight w:val="0"/>
      <w:marTop w:val="0"/>
      <w:marBottom w:val="0"/>
      <w:divBdr>
        <w:top w:val="none" w:sz="0" w:space="0" w:color="auto"/>
        <w:left w:val="none" w:sz="0" w:space="0" w:color="auto"/>
        <w:bottom w:val="none" w:sz="0" w:space="0" w:color="auto"/>
        <w:right w:val="none" w:sz="0" w:space="0" w:color="auto"/>
      </w:divBdr>
    </w:div>
    <w:div w:id="762150201">
      <w:bodyDiv w:val="1"/>
      <w:marLeft w:val="0"/>
      <w:marRight w:val="0"/>
      <w:marTop w:val="0"/>
      <w:marBottom w:val="0"/>
      <w:divBdr>
        <w:top w:val="none" w:sz="0" w:space="0" w:color="auto"/>
        <w:left w:val="none" w:sz="0" w:space="0" w:color="auto"/>
        <w:bottom w:val="none" w:sz="0" w:space="0" w:color="auto"/>
        <w:right w:val="none" w:sz="0" w:space="0" w:color="auto"/>
      </w:divBdr>
    </w:div>
    <w:div w:id="775060699">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780732913">
      <w:bodyDiv w:val="1"/>
      <w:marLeft w:val="0"/>
      <w:marRight w:val="0"/>
      <w:marTop w:val="0"/>
      <w:marBottom w:val="0"/>
      <w:divBdr>
        <w:top w:val="none" w:sz="0" w:space="0" w:color="auto"/>
        <w:left w:val="none" w:sz="0" w:space="0" w:color="auto"/>
        <w:bottom w:val="none" w:sz="0" w:space="0" w:color="auto"/>
        <w:right w:val="none" w:sz="0" w:space="0" w:color="auto"/>
      </w:divBdr>
    </w:div>
    <w:div w:id="785587277">
      <w:bodyDiv w:val="1"/>
      <w:marLeft w:val="0"/>
      <w:marRight w:val="0"/>
      <w:marTop w:val="0"/>
      <w:marBottom w:val="0"/>
      <w:divBdr>
        <w:top w:val="none" w:sz="0" w:space="0" w:color="auto"/>
        <w:left w:val="none" w:sz="0" w:space="0" w:color="auto"/>
        <w:bottom w:val="none" w:sz="0" w:space="0" w:color="auto"/>
        <w:right w:val="none" w:sz="0" w:space="0" w:color="auto"/>
      </w:divBdr>
    </w:div>
    <w:div w:id="792098233">
      <w:bodyDiv w:val="1"/>
      <w:marLeft w:val="0"/>
      <w:marRight w:val="0"/>
      <w:marTop w:val="0"/>
      <w:marBottom w:val="0"/>
      <w:divBdr>
        <w:top w:val="none" w:sz="0" w:space="0" w:color="auto"/>
        <w:left w:val="none" w:sz="0" w:space="0" w:color="auto"/>
        <w:bottom w:val="none" w:sz="0" w:space="0" w:color="auto"/>
        <w:right w:val="none" w:sz="0" w:space="0" w:color="auto"/>
      </w:divBdr>
    </w:div>
    <w:div w:id="793140137">
      <w:bodyDiv w:val="1"/>
      <w:marLeft w:val="0"/>
      <w:marRight w:val="0"/>
      <w:marTop w:val="0"/>
      <w:marBottom w:val="0"/>
      <w:divBdr>
        <w:top w:val="none" w:sz="0" w:space="0" w:color="auto"/>
        <w:left w:val="none" w:sz="0" w:space="0" w:color="auto"/>
        <w:bottom w:val="none" w:sz="0" w:space="0" w:color="auto"/>
        <w:right w:val="none" w:sz="0" w:space="0" w:color="auto"/>
      </w:divBdr>
    </w:div>
    <w:div w:id="801583865">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2901827">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1967348752">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06706227">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307544">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19153963">
      <w:bodyDiv w:val="1"/>
      <w:marLeft w:val="0"/>
      <w:marRight w:val="0"/>
      <w:marTop w:val="0"/>
      <w:marBottom w:val="0"/>
      <w:divBdr>
        <w:top w:val="none" w:sz="0" w:space="0" w:color="auto"/>
        <w:left w:val="none" w:sz="0" w:space="0" w:color="auto"/>
        <w:bottom w:val="none" w:sz="0" w:space="0" w:color="auto"/>
        <w:right w:val="none" w:sz="0" w:space="0" w:color="auto"/>
      </w:divBdr>
    </w:div>
    <w:div w:id="819270901">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2261218">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3449505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42548598">
      <w:bodyDiv w:val="1"/>
      <w:marLeft w:val="0"/>
      <w:marRight w:val="0"/>
      <w:marTop w:val="0"/>
      <w:marBottom w:val="0"/>
      <w:divBdr>
        <w:top w:val="none" w:sz="0" w:space="0" w:color="auto"/>
        <w:left w:val="none" w:sz="0" w:space="0" w:color="auto"/>
        <w:bottom w:val="none" w:sz="0" w:space="0" w:color="auto"/>
        <w:right w:val="none" w:sz="0" w:space="0" w:color="auto"/>
      </w:divBdr>
      <w:divsChild>
        <w:div w:id="1333677810">
          <w:marLeft w:val="0"/>
          <w:marRight w:val="0"/>
          <w:marTop w:val="0"/>
          <w:marBottom w:val="0"/>
          <w:divBdr>
            <w:top w:val="none" w:sz="0" w:space="0" w:color="auto"/>
            <w:left w:val="none" w:sz="0" w:space="0" w:color="auto"/>
            <w:bottom w:val="none" w:sz="0" w:space="0" w:color="auto"/>
            <w:right w:val="none" w:sz="0" w:space="0" w:color="auto"/>
          </w:divBdr>
        </w:div>
      </w:divsChild>
    </w:div>
    <w:div w:id="843787222">
      <w:bodyDiv w:val="1"/>
      <w:marLeft w:val="0"/>
      <w:marRight w:val="0"/>
      <w:marTop w:val="0"/>
      <w:marBottom w:val="0"/>
      <w:divBdr>
        <w:top w:val="none" w:sz="0" w:space="0" w:color="auto"/>
        <w:left w:val="none" w:sz="0" w:space="0" w:color="auto"/>
        <w:bottom w:val="none" w:sz="0" w:space="0" w:color="auto"/>
        <w:right w:val="none" w:sz="0" w:space="0" w:color="auto"/>
      </w:divBdr>
    </w:div>
    <w:div w:id="846217325">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0344926">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5896283">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3298875">
      <w:bodyDiv w:val="1"/>
      <w:marLeft w:val="0"/>
      <w:marRight w:val="0"/>
      <w:marTop w:val="0"/>
      <w:marBottom w:val="0"/>
      <w:divBdr>
        <w:top w:val="none" w:sz="0" w:space="0" w:color="auto"/>
        <w:left w:val="none" w:sz="0" w:space="0" w:color="auto"/>
        <w:bottom w:val="none" w:sz="0" w:space="0" w:color="auto"/>
        <w:right w:val="none" w:sz="0" w:space="0" w:color="auto"/>
      </w:divBdr>
    </w:div>
    <w:div w:id="883760677">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4097500">
      <w:bodyDiv w:val="1"/>
      <w:marLeft w:val="0"/>
      <w:marRight w:val="0"/>
      <w:marTop w:val="0"/>
      <w:marBottom w:val="0"/>
      <w:divBdr>
        <w:top w:val="none" w:sz="0" w:space="0" w:color="auto"/>
        <w:left w:val="none" w:sz="0" w:space="0" w:color="auto"/>
        <w:bottom w:val="none" w:sz="0" w:space="0" w:color="auto"/>
        <w:right w:val="none" w:sz="0" w:space="0" w:color="auto"/>
      </w:divBdr>
    </w:div>
    <w:div w:id="885331556">
      <w:bodyDiv w:val="1"/>
      <w:marLeft w:val="0"/>
      <w:marRight w:val="0"/>
      <w:marTop w:val="0"/>
      <w:marBottom w:val="0"/>
      <w:divBdr>
        <w:top w:val="none" w:sz="0" w:space="0" w:color="auto"/>
        <w:left w:val="none" w:sz="0" w:space="0" w:color="auto"/>
        <w:bottom w:val="none" w:sz="0" w:space="0" w:color="auto"/>
        <w:right w:val="none" w:sz="0" w:space="0" w:color="auto"/>
      </w:divBdr>
      <w:divsChild>
        <w:div w:id="858294">
          <w:marLeft w:val="0"/>
          <w:marRight w:val="0"/>
          <w:marTop w:val="0"/>
          <w:marBottom w:val="0"/>
          <w:divBdr>
            <w:top w:val="none" w:sz="0" w:space="0" w:color="auto"/>
            <w:left w:val="none" w:sz="0" w:space="0" w:color="auto"/>
            <w:bottom w:val="none" w:sz="0" w:space="0" w:color="auto"/>
            <w:right w:val="none" w:sz="0" w:space="0" w:color="auto"/>
          </w:divBdr>
        </w:div>
        <w:div w:id="35588438">
          <w:marLeft w:val="0"/>
          <w:marRight w:val="0"/>
          <w:marTop w:val="0"/>
          <w:marBottom w:val="0"/>
          <w:divBdr>
            <w:top w:val="none" w:sz="0" w:space="0" w:color="auto"/>
            <w:left w:val="none" w:sz="0" w:space="0" w:color="auto"/>
            <w:bottom w:val="none" w:sz="0" w:space="0" w:color="auto"/>
            <w:right w:val="none" w:sz="0" w:space="0" w:color="auto"/>
          </w:divBdr>
        </w:div>
        <w:div w:id="963385272">
          <w:marLeft w:val="0"/>
          <w:marRight w:val="0"/>
          <w:marTop w:val="0"/>
          <w:marBottom w:val="0"/>
          <w:divBdr>
            <w:top w:val="none" w:sz="0" w:space="0" w:color="auto"/>
            <w:left w:val="none" w:sz="0" w:space="0" w:color="auto"/>
            <w:bottom w:val="none" w:sz="0" w:space="0" w:color="auto"/>
            <w:right w:val="none" w:sz="0" w:space="0" w:color="auto"/>
          </w:divBdr>
        </w:div>
        <w:div w:id="980771812">
          <w:marLeft w:val="0"/>
          <w:marRight w:val="0"/>
          <w:marTop w:val="0"/>
          <w:marBottom w:val="0"/>
          <w:divBdr>
            <w:top w:val="none" w:sz="0" w:space="0" w:color="auto"/>
            <w:left w:val="none" w:sz="0" w:space="0" w:color="auto"/>
            <w:bottom w:val="none" w:sz="0" w:space="0" w:color="auto"/>
            <w:right w:val="none" w:sz="0" w:space="0" w:color="auto"/>
          </w:divBdr>
        </w:div>
        <w:div w:id="1303651957">
          <w:marLeft w:val="0"/>
          <w:marRight w:val="0"/>
          <w:marTop w:val="0"/>
          <w:marBottom w:val="0"/>
          <w:divBdr>
            <w:top w:val="none" w:sz="0" w:space="0" w:color="auto"/>
            <w:left w:val="none" w:sz="0" w:space="0" w:color="auto"/>
            <w:bottom w:val="none" w:sz="0" w:space="0" w:color="auto"/>
            <w:right w:val="none" w:sz="0" w:space="0" w:color="auto"/>
          </w:divBdr>
        </w:div>
        <w:div w:id="1690905680">
          <w:marLeft w:val="0"/>
          <w:marRight w:val="0"/>
          <w:marTop w:val="0"/>
          <w:marBottom w:val="0"/>
          <w:divBdr>
            <w:top w:val="none" w:sz="0" w:space="0" w:color="auto"/>
            <w:left w:val="none" w:sz="0" w:space="0" w:color="auto"/>
            <w:bottom w:val="none" w:sz="0" w:space="0" w:color="auto"/>
            <w:right w:val="none" w:sz="0" w:space="0" w:color="auto"/>
          </w:divBdr>
        </w:div>
        <w:div w:id="2102600288">
          <w:marLeft w:val="0"/>
          <w:marRight w:val="0"/>
          <w:marTop w:val="0"/>
          <w:marBottom w:val="0"/>
          <w:divBdr>
            <w:top w:val="none" w:sz="0" w:space="0" w:color="auto"/>
            <w:left w:val="none" w:sz="0" w:space="0" w:color="auto"/>
            <w:bottom w:val="none" w:sz="0" w:space="0" w:color="auto"/>
            <w:right w:val="none" w:sz="0" w:space="0" w:color="auto"/>
          </w:divBdr>
        </w:div>
      </w:divsChild>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35890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88">
          <w:marLeft w:val="0"/>
          <w:marRight w:val="0"/>
          <w:marTop w:val="0"/>
          <w:marBottom w:val="0"/>
          <w:divBdr>
            <w:top w:val="none" w:sz="0" w:space="0" w:color="auto"/>
            <w:left w:val="none" w:sz="0" w:space="0" w:color="auto"/>
            <w:bottom w:val="none" w:sz="0" w:space="0" w:color="auto"/>
            <w:right w:val="none" w:sz="0" w:space="0" w:color="auto"/>
          </w:divBdr>
        </w:div>
      </w:divsChild>
    </w:div>
    <w:div w:id="893807406">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896235820">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1347">
      <w:bodyDiv w:val="1"/>
      <w:marLeft w:val="0"/>
      <w:marRight w:val="0"/>
      <w:marTop w:val="0"/>
      <w:marBottom w:val="0"/>
      <w:divBdr>
        <w:top w:val="none" w:sz="0" w:space="0" w:color="auto"/>
        <w:left w:val="none" w:sz="0" w:space="0" w:color="auto"/>
        <w:bottom w:val="none" w:sz="0" w:space="0" w:color="auto"/>
        <w:right w:val="none" w:sz="0" w:space="0" w:color="auto"/>
      </w:divBdr>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5336637">
      <w:bodyDiv w:val="1"/>
      <w:marLeft w:val="0"/>
      <w:marRight w:val="0"/>
      <w:marTop w:val="0"/>
      <w:marBottom w:val="0"/>
      <w:divBdr>
        <w:top w:val="none" w:sz="0" w:space="0" w:color="auto"/>
        <w:left w:val="none" w:sz="0" w:space="0" w:color="auto"/>
        <w:bottom w:val="none" w:sz="0" w:space="0" w:color="auto"/>
        <w:right w:val="none" w:sz="0" w:space="0" w:color="auto"/>
      </w:divBdr>
    </w:div>
    <w:div w:id="908225993">
      <w:bodyDiv w:val="1"/>
      <w:marLeft w:val="0"/>
      <w:marRight w:val="0"/>
      <w:marTop w:val="0"/>
      <w:marBottom w:val="0"/>
      <w:divBdr>
        <w:top w:val="none" w:sz="0" w:space="0" w:color="auto"/>
        <w:left w:val="none" w:sz="0" w:space="0" w:color="auto"/>
        <w:bottom w:val="none" w:sz="0" w:space="0" w:color="auto"/>
        <w:right w:val="none" w:sz="0" w:space="0" w:color="auto"/>
      </w:divBdr>
    </w:div>
    <w:div w:id="908618026">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15869051">
      <w:bodyDiv w:val="1"/>
      <w:marLeft w:val="0"/>
      <w:marRight w:val="0"/>
      <w:marTop w:val="0"/>
      <w:marBottom w:val="0"/>
      <w:divBdr>
        <w:top w:val="none" w:sz="0" w:space="0" w:color="auto"/>
        <w:left w:val="none" w:sz="0" w:space="0" w:color="auto"/>
        <w:bottom w:val="none" w:sz="0" w:space="0" w:color="auto"/>
        <w:right w:val="none" w:sz="0" w:space="0" w:color="auto"/>
      </w:divBdr>
    </w:div>
    <w:div w:id="923412641">
      <w:bodyDiv w:val="1"/>
      <w:marLeft w:val="0"/>
      <w:marRight w:val="0"/>
      <w:marTop w:val="0"/>
      <w:marBottom w:val="0"/>
      <w:divBdr>
        <w:top w:val="none" w:sz="0" w:space="0" w:color="auto"/>
        <w:left w:val="none" w:sz="0" w:space="0" w:color="auto"/>
        <w:bottom w:val="none" w:sz="0" w:space="0" w:color="auto"/>
        <w:right w:val="none" w:sz="0" w:space="0" w:color="auto"/>
      </w:divBdr>
    </w:div>
    <w:div w:id="923607156">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2277433">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35945337">
      <w:bodyDiv w:val="1"/>
      <w:marLeft w:val="0"/>
      <w:marRight w:val="0"/>
      <w:marTop w:val="0"/>
      <w:marBottom w:val="0"/>
      <w:divBdr>
        <w:top w:val="none" w:sz="0" w:space="0" w:color="auto"/>
        <w:left w:val="none" w:sz="0" w:space="0" w:color="auto"/>
        <w:bottom w:val="none" w:sz="0" w:space="0" w:color="auto"/>
        <w:right w:val="none" w:sz="0" w:space="0" w:color="auto"/>
      </w:divBdr>
    </w:div>
    <w:div w:id="941113310">
      <w:bodyDiv w:val="1"/>
      <w:marLeft w:val="0"/>
      <w:marRight w:val="0"/>
      <w:marTop w:val="0"/>
      <w:marBottom w:val="0"/>
      <w:divBdr>
        <w:top w:val="none" w:sz="0" w:space="0" w:color="auto"/>
        <w:left w:val="none" w:sz="0" w:space="0" w:color="auto"/>
        <w:bottom w:val="none" w:sz="0" w:space="0" w:color="auto"/>
        <w:right w:val="none" w:sz="0" w:space="0" w:color="auto"/>
      </w:divBdr>
    </w:div>
    <w:div w:id="941298182">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3971739">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412938">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262340">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79186870">
      <w:bodyDiv w:val="1"/>
      <w:marLeft w:val="0"/>
      <w:marRight w:val="0"/>
      <w:marTop w:val="0"/>
      <w:marBottom w:val="0"/>
      <w:divBdr>
        <w:top w:val="none" w:sz="0" w:space="0" w:color="auto"/>
        <w:left w:val="none" w:sz="0" w:space="0" w:color="auto"/>
        <w:bottom w:val="none" w:sz="0" w:space="0" w:color="auto"/>
        <w:right w:val="none" w:sz="0" w:space="0" w:color="auto"/>
      </w:divBdr>
    </w:div>
    <w:div w:id="980497167">
      <w:bodyDiv w:val="1"/>
      <w:marLeft w:val="0"/>
      <w:marRight w:val="0"/>
      <w:marTop w:val="0"/>
      <w:marBottom w:val="0"/>
      <w:divBdr>
        <w:top w:val="none" w:sz="0" w:space="0" w:color="auto"/>
        <w:left w:val="none" w:sz="0" w:space="0" w:color="auto"/>
        <w:bottom w:val="none" w:sz="0" w:space="0" w:color="auto"/>
        <w:right w:val="none" w:sz="0" w:space="0" w:color="auto"/>
      </w:divBdr>
    </w:div>
    <w:div w:id="983893448">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89595378">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6767301">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137073">
      <w:bodyDiv w:val="1"/>
      <w:marLeft w:val="0"/>
      <w:marRight w:val="0"/>
      <w:marTop w:val="0"/>
      <w:marBottom w:val="0"/>
      <w:divBdr>
        <w:top w:val="none" w:sz="0" w:space="0" w:color="auto"/>
        <w:left w:val="none" w:sz="0" w:space="0" w:color="auto"/>
        <w:bottom w:val="none" w:sz="0" w:space="0" w:color="auto"/>
        <w:right w:val="none" w:sz="0" w:space="0" w:color="auto"/>
      </w:divBdr>
      <w:divsChild>
        <w:div w:id="476532414">
          <w:marLeft w:val="0"/>
          <w:marRight w:val="0"/>
          <w:marTop w:val="0"/>
          <w:marBottom w:val="0"/>
          <w:divBdr>
            <w:top w:val="none" w:sz="0" w:space="0" w:color="auto"/>
            <w:left w:val="none" w:sz="0" w:space="0" w:color="auto"/>
            <w:bottom w:val="none" w:sz="0" w:space="0" w:color="auto"/>
            <w:right w:val="none" w:sz="0" w:space="0" w:color="auto"/>
          </w:divBdr>
        </w:div>
        <w:div w:id="568685991">
          <w:marLeft w:val="0"/>
          <w:marRight w:val="0"/>
          <w:marTop w:val="0"/>
          <w:marBottom w:val="0"/>
          <w:divBdr>
            <w:top w:val="none" w:sz="0" w:space="0" w:color="auto"/>
            <w:left w:val="none" w:sz="0" w:space="0" w:color="auto"/>
            <w:bottom w:val="none" w:sz="0" w:space="0" w:color="auto"/>
            <w:right w:val="none" w:sz="0" w:space="0" w:color="auto"/>
          </w:divBdr>
        </w:div>
        <w:div w:id="910312672">
          <w:marLeft w:val="0"/>
          <w:marRight w:val="0"/>
          <w:marTop w:val="0"/>
          <w:marBottom w:val="0"/>
          <w:divBdr>
            <w:top w:val="none" w:sz="0" w:space="0" w:color="auto"/>
            <w:left w:val="none" w:sz="0" w:space="0" w:color="auto"/>
            <w:bottom w:val="none" w:sz="0" w:space="0" w:color="auto"/>
            <w:right w:val="none" w:sz="0" w:space="0" w:color="auto"/>
          </w:divBdr>
        </w:div>
        <w:div w:id="997341171">
          <w:marLeft w:val="0"/>
          <w:marRight w:val="0"/>
          <w:marTop w:val="0"/>
          <w:marBottom w:val="0"/>
          <w:divBdr>
            <w:top w:val="none" w:sz="0" w:space="0" w:color="auto"/>
            <w:left w:val="none" w:sz="0" w:space="0" w:color="auto"/>
            <w:bottom w:val="none" w:sz="0" w:space="0" w:color="auto"/>
            <w:right w:val="none" w:sz="0" w:space="0" w:color="auto"/>
          </w:divBdr>
        </w:div>
        <w:div w:id="1398673334">
          <w:marLeft w:val="0"/>
          <w:marRight w:val="0"/>
          <w:marTop w:val="0"/>
          <w:marBottom w:val="0"/>
          <w:divBdr>
            <w:top w:val="none" w:sz="0" w:space="0" w:color="auto"/>
            <w:left w:val="none" w:sz="0" w:space="0" w:color="auto"/>
            <w:bottom w:val="none" w:sz="0" w:space="0" w:color="auto"/>
            <w:right w:val="none" w:sz="0" w:space="0" w:color="auto"/>
          </w:divBdr>
        </w:div>
        <w:div w:id="1967084251">
          <w:marLeft w:val="0"/>
          <w:marRight w:val="0"/>
          <w:marTop w:val="0"/>
          <w:marBottom w:val="0"/>
          <w:divBdr>
            <w:top w:val="none" w:sz="0" w:space="0" w:color="auto"/>
            <w:left w:val="none" w:sz="0" w:space="0" w:color="auto"/>
            <w:bottom w:val="none" w:sz="0" w:space="0" w:color="auto"/>
            <w:right w:val="none" w:sz="0" w:space="0" w:color="auto"/>
          </w:divBdr>
        </w:div>
        <w:div w:id="1975259238">
          <w:marLeft w:val="0"/>
          <w:marRight w:val="0"/>
          <w:marTop w:val="0"/>
          <w:marBottom w:val="0"/>
          <w:divBdr>
            <w:top w:val="none" w:sz="0" w:space="0" w:color="auto"/>
            <w:left w:val="none" w:sz="0" w:space="0" w:color="auto"/>
            <w:bottom w:val="none" w:sz="0" w:space="0" w:color="auto"/>
            <w:right w:val="none" w:sz="0" w:space="0" w:color="auto"/>
          </w:divBdr>
        </w:div>
      </w:divsChild>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09913510">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14452710">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71466132">
          <w:marLeft w:val="0"/>
          <w:marRight w:val="0"/>
          <w:marTop w:val="0"/>
          <w:marBottom w:val="0"/>
          <w:divBdr>
            <w:top w:val="none" w:sz="0" w:space="0" w:color="auto"/>
            <w:left w:val="none" w:sz="0" w:space="0" w:color="auto"/>
            <w:bottom w:val="none" w:sz="0" w:space="0" w:color="auto"/>
            <w:right w:val="none" w:sz="0" w:space="0" w:color="auto"/>
          </w:divBdr>
        </w:div>
        <w:div w:id="237136449">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sChild>
    </w:div>
    <w:div w:id="104591311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1080294">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088947">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190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425">
          <w:marLeft w:val="0"/>
          <w:marRight w:val="0"/>
          <w:marTop w:val="0"/>
          <w:marBottom w:val="0"/>
          <w:divBdr>
            <w:top w:val="none" w:sz="0" w:space="0" w:color="auto"/>
            <w:left w:val="none" w:sz="0" w:space="0" w:color="auto"/>
            <w:bottom w:val="none" w:sz="0" w:space="0" w:color="auto"/>
            <w:right w:val="none" w:sz="0" w:space="0" w:color="auto"/>
          </w:divBdr>
          <w:divsChild>
            <w:div w:id="726031613">
              <w:marLeft w:val="0"/>
              <w:marRight w:val="0"/>
              <w:marTop w:val="0"/>
              <w:marBottom w:val="240"/>
              <w:divBdr>
                <w:top w:val="none" w:sz="0" w:space="0" w:color="auto"/>
                <w:left w:val="none" w:sz="0" w:space="0" w:color="auto"/>
                <w:bottom w:val="none" w:sz="0" w:space="0" w:color="auto"/>
                <w:right w:val="none" w:sz="0" w:space="0" w:color="auto"/>
              </w:divBdr>
            </w:div>
          </w:divsChild>
        </w:div>
        <w:div w:id="1253048448">
          <w:marLeft w:val="0"/>
          <w:marRight w:val="0"/>
          <w:marTop w:val="0"/>
          <w:marBottom w:val="0"/>
          <w:divBdr>
            <w:top w:val="none" w:sz="0" w:space="0" w:color="auto"/>
            <w:left w:val="none" w:sz="0" w:space="0" w:color="auto"/>
            <w:bottom w:val="none" w:sz="0" w:space="0" w:color="auto"/>
            <w:right w:val="none" w:sz="0" w:space="0" w:color="auto"/>
          </w:divBdr>
          <w:divsChild>
            <w:div w:id="216547558">
              <w:marLeft w:val="0"/>
              <w:marRight w:val="0"/>
              <w:marTop w:val="0"/>
              <w:marBottom w:val="240"/>
              <w:divBdr>
                <w:top w:val="none" w:sz="0" w:space="0" w:color="auto"/>
                <w:left w:val="none" w:sz="0" w:space="0" w:color="auto"/>
                <w:bottom w:val="none" w:sz="0" w:space="0" w:color="auto"/>
                <w:right w:val="none" w:sz="0" w:space="0" w:color="auto"/>
              </w:divBdr>
            </w:div>
          </w:divsChild>
        </w:div>
        <w:div w:id="1458446783">
          <w:marLeft w:val="0"/>
          <w:marRight w:val="0"/>
          <w:marTop w:val="0"/>
          <w:marBottom w:val="0"/>
          <w:divBdr>
            <w:top w:val="none" w:sz="0" w:space="0" w:color="auto"/>
            <w:left w:val="none" w:sz="0" w:space="0" w:color="auto"/>
            <w:bottom w:val="none" w:sz="0" w:space="0" w:color="auto"/>
            <w:right w:val="none" w:sz="0" w:space="0" w:color="auto"/>
          </w:divBdr>
          <w:divsChild>
            <w:div w:id="1531919607">
              <w:marLeft w:val="0"/>
              <w:marRight w:val="0"/>
              <w:marTop w:val="0"/>
              <w:marBottom w:val="240"/>
              <w:divBdr>
                <w:top w:val="none" w:sz="0" w:space="0" w:color="auto"/>
                <w:left w:val="none" w:sz="0" w:space="0" w:color="auto"/>
                <w:bottom w:val="none" w:sz="0" w:space="0" w:color="auto"/>
                <w:right w:val="none" w:sz="0" w:space="0" w:color="auto"/>
              </w:divBdr>
            </w:div>
          </w:divsChild>
        </w:div>
        <w:div w:id="1566336267">
          <w:marLeft w:val="0"/>
          <w:marRight w:val="0"/>
          <w:marTop w:val="0"/>
          <w:marBottom w:val="0"/>
          <w:divBdr>
            <w:top w:val="none" w:sz="0" w:space="0" w:color="auto"/>
            <w:left w:val="none" w:sz="0" w:space="0" w:color="auto"/>
            <w:bottom w:val="none" w:sz="0" w:space="0" w:color="auto"/>
            <w:right w:val="none" w:sz="0" w:space="0" w:color="auto"/>
          </w:divBdr>
          <w:divsChild>
            <w:div w:id="856579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3044415">
      <w:bodyDiv w:val="1"/>
      <w:marLeft w:val="0"/>
      <w:marRight w:val="0"/>
      <w:marTop w:val="0"/>
      <w:marBottom w:val="0"/>
      <w:divBdr>
        <w:top w:val="none" w:sz="0" w:space="0" w:color="auto"/>
        <w:left w:val="none" w:sz="0" w:space="0" w:color="auto"/>
        <w:bottom w:val="none" w:sz="0" w:space="0" w:color="auto"/>
        <w:right w:val="none" w:sz="0" w:space="0" w:color="auto"/>
      </w:divBdr>
    </w:div>
    <w:div w:id="1076510496">
      <w:bodyDiv w:val="1"/>
      <w:marLeft w:val="0"/>
      <w:marRight w:val="0"/>
      <w:marTop w:val="0"/>
      <w:marBottom w:val="0"/>
      <w:divBdr>
        <w:top w:val="none" w:sz="0" w:space="0" w:color="auto"/>
        <w:left w:val="none" w:sz="0" w:space="0" w:color="auto"/>
        <w:bottom w:val="none" w:sz="0" w:space="0" w:color="auto"/>
        <w:right w:val="none" w:sz="0" w:space="0" w:color="auto"/>
      </w:divBdr>
    </w:div>
    <w:div w:id="1076823893">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1290608">
      <w:bodyDiv w:val="1"/>
      <w:marLeft w:val="0"/>
      <w:marRight w:val="0"/>
      <w:marTop w:val="0"/>
      <w:marBottom w:val="0"/>
      <w:divBdr>
        <w:top w:val="none" w:sz="0" w:space="0" w:color="auto"/>
        <w:left w:val="none" w:sz="0" w:space="0" w:color="auto"/>
        <w:bottom w:val="none" w:sz="0" w:space="0" w:color="auto"/>
        <w:right w:val="none" w:sz="0" w:space="0" w:color="auto"/>
      </w:divBdr>
    </w:div>
    <w:div w:id="108183304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7211238">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0878565">
      <w:bodyDiv w:val="1"/>
      <w:marLeft w:val="0"/>
      <w:marRight w:val="0"/>
      <w:marTop w:val="0"/>
      <w:marBottom w:val="0"/>
      <w:divBdr>
        <w:top w:val="none" w:sz="0" w:space="0" w:color="auto"/>
        <w:left w:val="none" w:sz="0" w:space="0" w:color="auto"/>
        <w:bottom w:val="none" w:sz="0" w:space="0" w:color="auto"/>
        <w:right w:val="none" w:sz="0" w:space="0" w:color="auto"/>
      </w:divBdr>
      <w:divsChild>
        <w:div w:id="353115914">
          <w:marLeft w:val="0"/>
          <w:marRight w:val="0"/>
          <w:marTop w:val="0"/>
          <w:marBottom w:val="0"/>
          <w:divBdr>
            <w:top w:val="none" w:sz="0" w:space="0" w:color="auto"/>
            <w:left w:val="none" w:sz="0" w:space="0" w:color="auto"/>
            <w:bottom w:val="none" w:sz="0" w:space="0" w:color="auto"/>
            <w:right w:val="none" w:sz="0" w:space="0" w:color="auto"/>
          </w:divBdr>
          <w:divsChild>
            <w:div w:id="19634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7970947">
      <w:bodyDiv w:val="1"/>
      <w:marLeft w:val="0"/>
      <w:marRight w:val="0"/>
      <w:marTop w:val="0"/>
      <w:marBottom w:val="0"/>
      <w:divBdr>
        <w:top w:val="none" w:sz="0" w:space="0" w:color="auto"/>
        <w:left w:val="none" w:sz="0" w:space="0" w:color="auto"/>
        <w:bottom w:val="none" w:sz="0" w:space="0" w:color="auto"/>
        <w:right w:val="none" w:sz="0" w:space="0" w:color="auto"/>
      </w:divBdr>
    </w:div>
    <w:div w:id="110946773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47724219">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1494754246">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6211923">
      <w:bodyDiv w:val="1"/>
      <w:marLeft w:val="0"/>
      <w:marRight w:val="0"/>
      <w:marTop w:val="0"/>
      <w:marBottom w:val="0"/>
      <w:divBdr>
        <w:top w:val="none" w:sz="0" w:space="0" w:color="auto"/>
        <w:left w:val="none" w:sz="0" w:space="0" w:color="auto"/>
        <w:bottom w:val="none" w:sz="0" w:space="0" w:color="auto"/>
        <w:right w:val="none" w:sz="0" w:space="0" w:color="auto"/>
      </w:divBdr>
    </w:div>
    <w:div w:id="1116675950">
      <w:bodyDiv w:val="1"/>
      <w:marLeft w:val="0"/>
      <w:marRight w:val="0"/>
      <w:marTop w:val="0"/>
      <w:marBottom w:val="0"/>
      <w:divBdr>
        <w:top w:val="none" w:sz="0" w:space="0" w:color="auto"/>
        <w:left w:val="none" w:sz="0" w:space="0" w:color="auto"/>
        <w:bottom w:val="none" w:sz="0" w:space="0" w:color="auto"/>
        <w:right w:val="none" w:sz="0" w:space="0" w:color="auto"/>
      </w:divBdr>
      <w:divsChild>
        <w:div w:id="1702317527">
          <w:marLeft w:val="0"/>
          <w:marRight w:val="0"/>
          <w:marTop w:val="0"/>
          <w:marBottom w:val="0"/>
          <w:divBdr>
            <w:top w:val="none" w:sz="0" w:space="0" w:color="auto"/>
            <w:left w:val="none" w:sz="0" w:space="0" w:color="auto"/>
            <w:bottom w:val="none" w:sz="0" w:space="0" w:color="auto"/>
            <w:right w:val="none" w:sz="0" w:space="0" w:color="auto"/>
          </w:divBdr>
        </w:div>
      </w:divsChild>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2268227">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5351241">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29784684">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3714258">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4979903">
      <w:bodyDiv w:val="1"/>
      <w:marLeft w:val="0"/>
      <w:marRight w:val="0"/>
      <w:marTop w:val="0"/>
      <w:marBottom w:val="0"/>
      <w:divBdr>
        <w:top w:val="none" w:sz="0" w:space="0" w:color="auto"/>
        <w:left w:val="none" w:sz="0" w:space="0" w:color="auto"/>
        <w:bottom w:val="none" w:sz="0" w:space="0" w:color="auto"/>
        <w:right w:val="none" w:sz="0" w:space="0" w:color="auto"/>
      </w:divBdr>
    </w:div>
    <w:div w:id="1137067288">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3431680">
      <w:bodyDiv w:val="1"/>
      <w:marLeft w:val="0"/>
      <w:marRight w:val="0"/>
      <w:marTop w:val="0"/>
      <w:marBottom w:val="0"/>
      <w:divBdr>
        <w:top w:val="none" w:sz="0" w:space="0" w:color="auto"/>
        <w:left w:val="none" w:sz="0" w:space="0" w:color="auto"/>
        <w:bottom w:val="none" w:sz="0" w:space="0" w:color="auto"/>
        <w:right w:val="none" w:sz="0" w:space="0" w:color="auto"/>
      </w:divBdr>
    </w:div>
    <w:div w:id="1145199399">
      <w:bodyDiv w:val="1"/>
      <w:marLeft w:val="0"/>
      <w:marRight w:val="0"/>
      <w:marTop w:val="0"/>
      <w:marBottom w:val="0"/>
      <w:divBdr>
        <w:top w:val="none" w:sz="0" w:space="0" w:color="auto"/>
        <w:left w:val="none" w:sz="0" w:space="0" w:color="auto"/>
        <w:bottom w:val="none" w:sz="0" w:space="0" w:color="auto"/>
        <w:right w:val="none" w:sz="0" w:space="0" w:color="auto"/>
      </w:divBdr>
    </w:div>
    <w:div w:id="1145270495">
      <w:bodyDiv w:val="1"/>
      <w:marLeft w:val="0"/>
      <w:marRight w:val="0"/>
      <w:marTop w:val="0"/>
      <w:marBottom w:val="0"/>
      <w:divBdr>
        <w:top w:val="none" w:sz="0" w:space="0" w:color="auto"/>
        <w:left w:val="none" w:sz="0" w:space="0" w:color="auto"/>
        <w:bottom w:val="none" w:sz="0" w:space="0" w:color="auto"/>
        <w:right w:val="none" w:sz="0" w:space="0" w:color="auto"/>
      </w:divBdr>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3179639">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5881782">
      <w:bodyDiv w:val="1"/>
      <w:marLeft w:val="0"/>
      <w:marRight w:val="0"/>
      <w:marTop w:val="0"/>
      <w:marBottom w:val="0"/>
      <w:divBdr>
        <w:top w:val="none" w:sz="0" w:space="0" w:color="auto"/>
        <w:left w:val="none" w:sz="0" w:space="0" w:color="auto"/>
        <w:bottom w:val="none" w:sz="0" w:space="0" w:color="auto"/>
        <w:right w:val="none" w:sz="0" w:space="0" w:color="auto"/>
      </w:divBdr>
      <w:divsChild>
        <w:div w:id="512916464">
          <w:marLeft w:val="0"/>
          <w:marRight w:val="0"/>
          <w:marTop w:val="0"/>
          <w:marBottom w:val="0"/>
          <w:divBdr>
            <w:top w:val="none" w:sz="0" w:space="0" w:color="auto"/>
            <w:left w:val="none" w:sz="0" w:space="0" w:color="auto"/>
            <w:bottom w:val="none" w:sz="0" w:space="0" w:color="auto"/>
            <w:right w:val="none" w:sz="0" w:space="0" w:color="auto"/>
          </w:divBdr>
        </w:div>
      </w:divsChild>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57452826">
      <w:bodyDiv w:val="1"/>
      <w:marLeft w:val="0"/>
      <w:marRight w:val="0"/>
      <w:marTop w:val="0"/>
      <w:marBottom w:val="0"/>
      <w:divBdr>
        <w:top w:val="none" w:sz="0" w:space="0" w:color="auto"/>
        <w:left w:val="none" w:sz="0" w:space="0" w:color="auto"/>
        <w:bottom w:val="none" w:sz="0" w:space="0" w:color="auto"/>
        <w:right w:val="none" w:sz="0" w:space="0" w:color="auto"/>
      </w:divBdr>
    </w:div>
    <w:div w:id="1158036880">
      <w:bodyDiv w:val="1"/>
      <w:marLeft w:val="0"/>
      <w:marRight w:val="0"/>
      <w:marTop w:val="0"/>
      <w:marBottom w:val="0"/>
      <w:divBdr>
        <w:top w:val="none" w:sz="0" w:space="0" w:color="auto"/>
        <w:left w:val="none" w:sz="0" w:space="0" w:color="auto"/>
        <w:bottom w:val="none" w:sz="0" w:space="0" w:color="auto"/>
        <w:right w:val="none" w:sz="0" w:space="0" w:color="auto"/>
      </w:divBdr>
    </w:div>
    <w:div w:id="1158811203">
      <w:bodyDiv w:val="1"/>
      <w:marLeft w:val="0"/>
      <w:marRight w:val="0"/>
      <w:marTop w:val="0"/>
      <w:marBottom w:val="0"/>
      <w:divBdr>
        <w:top w:val="none" w:sz="0" w:space="0" w:color="auto"/>
        <w:left w:val="none" w:sz="0" w:space="0" w:color="auto"/>
        <w:bottom w:val="none" w:sz="0" w:space="0" w:color="auto"/>
        <w:right w:val="none" w:sz="0" w:space="0" w:color="auto"/>
      </w:divBdr>
    </w:div>
    <w:div w:id="1159343311">
      <w:bodyDiv w:val="1"/>
      <w:marLeft w:val="0"/>
      <w:marRight w:val="0"/>
      <w:marTop w:val="0"/>
      <w:marBottom w:val="0"/>
      <w:divBdr>
        <w:top w:val="none" w:sz="0" w:space="0" w:color="auto"/>
        <w:left w:val="none" w:sz="0" w:space="0" w:color="auto"/>
        <w:bottom w:val="none" w:sz="0" w:space="0" w:color="auto"/>
        <w:right w:val="none" w:sz="0" w:space="0" w:color="auto"/>
      </w:divBdr>
    </w:div>
    <w:div w:id="115946836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027991">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946223">
      <w:bodyDiv w:val="1"/>
      <w:marLeft w:val="0"/>
      <w:marRight w:val="0"/>
      <w:marTop w:val="0"/>
      <w:marBottom w:val="0"/>
      <w:divBdr>
        <w:top w:val="none" w:sz="0" w:space="0" w:color="auto"/>
        <w:left w:val="none" w:sz="0" w:space="0" w:color="auto"/>
        <w:bottom w:val="none" w:sz="0" w:space="0" w:color="auto"/>
        <w:right w:val="none" w:sz="0" w:space="0" w:color="auto"/>
      </w:divBdr>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4438470">
      <w:bodyDiv w:val="1"/>
      <w:marLeft w:val="0"/>
      <w:marRight w:val="0"/>
      <w:marTop w:val="0"/>
      <w:marBottom w:val="0"/>
      <w:divBdr>
        <w:top w:val="none" w:sz="0" w:space="0" w:color="auto"/>
        <w:left w:val="none" w:sz="0" w:space="0" w:color="auto"/>
        <w:bottom w:val="none" w:sz="0" w:space="0" w:color="auto"/>
        <w:right w:val="none" w:sz="0" w:space="0" w:color="auto"/>
      </w:divBdr>
    </w:div>
    <w:div w:id="118490690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199852346">
      <w:bodyDiv w:val="1"/>
      <w:marLeft w:val="0"/>
      <w:marRight w:val="0"/>
      <w:marTop w:val="0"/>
      <w:marBottom w:val="0"/>
      <w:divBdr>
        <w:top w:val="none" w:sz="0" w:space="0" w:color="auto"/>
        <w:left w:val="none" w:sz="0" w:space="0" w:color="auto"/>
        <w:bottom w:val="none" w:sz="0" w:space="0" w:color="auto"/>
        <w:right w:val="none" w:sz="0" w:space="0" w:color="auto"/>
      </w:divBdr>
    </w:div>
    <w:div w:id="1201209372">
      <w:bodyDiv w:val="1"/>
      <w:marLeft w:val="0"/>
      <w:marRight w:val="0"/>
      <w:marTop w:val="0"/>
      <w:marBottom w:val="0"/>
      <w:divBdr>
        <w:top w:val="none" w:sz="0" w:space="0" w:color="auto"/>
        <w:left w:val="none" w:sz="0" w:space="0" w:color="auto"/>
        <w:bottom w:val="none" w:sz="0" w:space="0" w:color="auto"/>
        <w:right w:val="none" w:sz="0" w:space="0" w:color="auto"/>
      </w:divBdr>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08399883">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1889998699">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05632575">
      <w:bodyDiv w:val="1"/>
      <w:marLeft w:val="0"/>
      <w:marRight w:val="0"/>
      <w:marTop w:val="0"/>
      <w:marBottom w:val="0"/>
      <w:divBdr>
        <w:top w:val="none" w:sz="0" w:space="0" w:color="auto"/>
        <w:left w:val="none" w:sz="0" w:space="0" w:color="auto"/>
        <w:bottom w:val="none" w:sz="0" w:space="0" w:color="auto"/>
        <w:right w:val="none" w:sz="0" w:space="0" w:color="auto"/>
      </w:divBdr>
    </w:div>
    <w:div w:id="1208496374">
      <w:bodyDiv w:val="1"/>
      <w:marLeft w:val="0"/>
      <w:marRight w:val="0"/>
      <w:marTop w:val="0"/>
      <w:marBottom w:val="0"/>
      <w:divBdr>
        <w:top w:val="none" w:sz="0" w:space="0" w:color="auto"/>
        <w:left w:val="none" w:sz="0" w:space="0" w:color="auto"/>
        <w:bottom w:val="none" w:sz="0" w:space="0" w:color="auto"/>
        <w:right w:val="none" w:sz="0" w:space="0" w:color="auto"/>
      </w:divBdr>
    </w:div>
    <w:div w:id="1208881801">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087426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15001280">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224098352">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555581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0138348">
      <w:bodyDiv w:val="1"/>
      <w:marLeft w:val="0"/>
      <w:marRight w:val="0"/>
      <w:marTop w:val="0"/>
      <w:marBottom w:val="0"/>
      <w:divBdr>
        <w:top w:val="none" w:sz="0" w:space="0" w:color="auto"/>
        <w:left w:val="none" w:sz="0" w:space="0" w:color="auto"/>
        <w:bottom w:val="none" w:sz="0" w:space="0" w:color="auto"/>
        <w:right w:val="none" w:sz="0" w:space="0" w:color="auto"/>
      </w:divBdr>
    </w:div>
    <w:div w:id="1246767144">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56134569">
      <w:bodyDiv w:val="1"/>
      <w:marLeft w:val="0"/>
      <w:marRight w:val="0"/>
      <w:marTop w:val="0"/>
      <w:marBottom w:val="0"/>
      <w:divBdr>
        <w:top w:val="none" w:sz="0" w:space="0" w:color="auto"/>
        <w:left w:val="none" w:sz="0" w:space="0" w:color="auto"/>
        <w:bottom w:val="none" w:sz="0" w:space="0" w:color="auto"/>
        <w:right w:val="none" w:sz="0" w:space="0" w:color="auto"/>
      </w:divBdr>
    </w:div>
    <w:div w:id="1256548858">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0432592">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8835441">
      <w:bodyDiv w:val="1"/>
      <w:marLeft w:val="0"/>
      <w:marRight w:val="0"/>
      <w:marTop w:val="0"/>
      <w:marBottom w:val="0"/>
      <w:divBdr>
        <w:top w:val="none" w:sz="0" w:space="0" w:color="auto"/>
        <w:left w:val="none" w:sz="0" w:space="0" w:color="auto"/>
        <w:bottom w:val="none" w:sz="0" w:space="0" w:color="auto"/>
        <w:right w:val="none" w:sz="0" w:space="0" w:color="auto"/>
      </w:divBdr>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009646">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3437015">
      <w:bodyDiv w:val="1"/>
      <w:marLeft w:val="0"/>
      <w:marRight w:val="0"/>
      <w:marTop w:val="0"/>
      <w:marBottom w:val="0"/>
      <w:divBdr>
        <w:top w:val="none" w:sz="0" w:space="0" w:color="auto"/>
        <w:left w:val="none" w:sz="0" w:space="0" w:color="auto"/>
        <w:bottom w:val="none" w:sz="0" w:space="0" w:color="auto"/>
        <w:right w:val="none" w:sz="0" w:space="0" w:color="auto"/>
      </w:divBdr>
      <w:divsChild>
        <w:div w:id="976375398">
          <w:marLeft w:val="0"/>
          <w:marRight w:val="0"/>
          <w:marTop w:val="0"/>
          <w:marBottom w:val="0"/>
          <w:divBdr>
            <w:top w:val="none" w:sz="0" w:space="0" w:color="auto"/>
            <w:left w:val="none" w:sz="0" w:space="0" w:color="auto"/>
            <w:bottom w:val="none" w:sz="0" w:space="0" w:color="auto"/>
            <w:right w:val="none" w:sz="0" w:space="0" w:color="auto"/>
          </w:divBdr>
          <w:divsChild>
            <w:div w:id="1472362913">
              <w:marLeft w:val="780"/>
              <w:marRight w:val="240"/>
              <w:marTop w:val="180"/>
              <w:marBottom w:val="0"/>
              <w:divBdr>
                <w:top w:val="none" w:sz="0" w:space="0" w:color="auto"/>
                <w:left w:val="none" w:sz="0" w:space="0" w:color="auto"/>
                <w:bottom w:val="none" w:sz="0" w:space="0" w:color="auto"/>
                <w:right w:val="none" w:sz="0" w:space="0" w:color="auto"/>
              </w:divBdr>
              <w:divsChild>
                <w:div w:id="1910534808">
                  <w:marLeft w:val="0"/>
                  <w:marRight w:val="0"/>
                  <w:marTop w:val="0"/>
                  <w:marBottom w:val="0"/>
                  <w:divBdr>
                    <w:top w:val="none" w:sz="0" w:space="0" w:color="auto"/>
                    <w:left w:val="none" w:sz="0" w:space="0" w:color="auto"/>
                    <w:bottom w:val="none" w:sz="0" w:space="0" w:color="auto"/>
                    <w:right w:val="none" w:sz="0" w:space="0" w:color="auto"/>
                  </w:divBdr>
                  <w:divsChild>
                    <w:div w:id="776870673">
                      <w:marLeft w:val="0"/>
                      <w:marRight w:val="0"/>
                      <w:marTop w:val="0"/>
                      <w:marBottom w:val="0"/>
                      <w:divBdr>
                        <w:top w:val="none" w:sz="0" w:space="0" w:color="auto"/>
                        <w:left w:val="none" w:sz="0" w:space="0" w:color="auto"/>
                        <w:bottom w:val="none" w:sz="0" w:space="0" w:color="auto"/>
                        <w:right w:val="none" w:sz="0" w:space="0" w:color="auto"/>
                      </w:divBdr>
                      <w:divsChild>
                        <w:div w:id="1218511927">
                          <w:marLeft w:val="0"/>
                          <w:marRight w:val="0"/>
                          <w:marTop w:val="0"/>
                          <w:marBottom w:val="0"/>
                          <w:divBdr>
                            <w:top w:val="none" w:sz="0" w:space="0" w:color="auto"/>
                            <w:left w:val="none" w:sz="0" w:space="0" w:color="auto"/>
                            <w:bottom w:val="none" w:sz="0" w:space="0" w:color="auto"/>
                            <w:right w:val="none" w:sz="0" w:space="0" w:color="auto"/>
                          </w:divBdr>
                          <w:divsChild>
                            <w:div w:id="20991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876332">
          <w:marLeft w:val="0"/>
          <w:marRight w:val="0"/>
          <w:marTop w:val="0"/>
          <w:marBottom w:val="0"/>
          <w:divBdr>
            <w:top w:val="none" w:sz="0" w:space="0" w:color="auto"/>
            <w:left w:val="none" w:sz="0" w:space="0" w:color="auto"/>
            <w:bottom w:val="none" w:sz="0" w:space="0" w:color="auto"/>
            <w:right w:val="none" w:sz="0" w:space="0" w:color="auto"/>
          </w:divBdr>
          <w:divsChild>
            <w:div w:id="198511613">
              <w:marLeft w:val="720"/>
              <w:marRight w:val="0"/>
              <w:marTop w:val="0"/>
              <w:marBottom w:val="0"/>
              <w:divBdr>
                <w:top w:val="none" w:sz="0" w:space="0" w:color="auto"/>
                <w:left w:val="none" w:sz="0" w:space="0" w:color="auto"/>
                <w:bottom w:val="none" w:sz="0" w:space="0" w:color="auto"/>
                <w:right w:val="none" w:sz="0" w:space="0" w:color="auto"/>
              </w:divBdr>
              <w:divsChild>
                <w:div w:id="915020959">
                  <w:marLeft w:val="270"/>
                  <w:marRight w:val="150"/>
                  <w:marTop w:val="0"/>
                  <w:marBottom w:val="0"/>
                  <w:divBdr>
                    <w:top w:val="none" w:sz="0" w:space="0" w:color="auto"/>
                    <w:left w:val="none" w:sz="0" w:space="0" w:color="auto"/>
                    <w:bottom w:val="none" w:sz="0" w:space="0" w:color="auto"/>
                    <w:right w:val="none" w:sz="0" w:space="0" w:color="auto"/>
                  </w:divBdr>
                </w:div>
                <w:div w:id="1279483582">
                  <w:marLeft w:val="0"/>
                  <w:marRight w:val="0"/>
                  <w:marTop w:val="0"/>
                  <w:marBottom w:val="0"/>
                  <w:divBdr>
                    <w:top w:val="none" w:sz="0" w:space="0" w:color="auto"/>
                    <w:left w:val="none" w:sz="0" w:space="0" w:color="auto"/>
                    <w:bottom w:val="none" w:sz="0" w:space="0" w:color="auto"/>
                    <w:right w:val="none" w:sz="0" w:space="0" w:color="auto"/>
                  </w:divBdr>
                  <w:divsChild>
                    <w:div w:id="967510295">
                      <w:marLeft w:val="0"/>
                      <w:marRight w:val="0"/>
                      <w:marTop w:val="0"/>
                      <w:marBottom w:val="0"/>
                      <w:divBdr>
                        <w:top w:val="none" w:sz="0" w:space="0" w:color="auto"/>
                        <w:left w:val="none" w:sz="0" w:space="0" w:color="auto"/>
                        <w:bottom w:val="none" w:sz="0" w:space="0" w:color="auto"/>
                        <w:right w:val="none" w:sz="0" w:space="0" w:color="auto"/>
                      </w:divBdr>
                      <w:divsChild>
                        <w:div w:id="807892565">
                          <w:marLeft w:val="0"/>
                          <w:marRight w:val="0"/>
                          <w:marTop w:val="0"/>
                          <w:marBottom w:val="0"/>
                          <w:divBdr>
                            <w:top w:val="none" w:sz="0" w:space="0" w:color="auto"/>
                            <w:left w:val="none" w:sz="0" w:space="0" w:color="auto"/>
                            <w:bottom w:val="none" w:sz="0" w:space="0" w:color="auto"/>
                            <w:right w:val="none" w:sz="0" w:space="0" w:color="auto"/>
                          </w:divBdr>
                          <w:divsChild>
                            <w:div w:id="324238396">
                              <w:marLeft w:val="0"/>
                              <w:marRight w:val="0"/>
                              <w:marTop w:val="0"/>
                              <w:marBottom w:val="0"/>
                              <w:divBdr>
                                <w:top w:val="none" w:sz="0" w:space="0" w:color="auto"/>
                                <w:left w:val="none" w:sz="0" w:space="0" w:color="auto"/>
                                <w:bottom w:val="none" w:sz="0" w:space="0" w:color="auto"/>
                                <w:right w:val="none" w:sz="0" w:space="0" w:color="auto"/>
                              </w:divBdr>
                              <w:divsChild>
                                <w:div w:id="1562985921">
                                  <w:marLeft w:val="0"/>
                                  <w:marRight w:val="0"/>
                                  <w:marTop w:val="30"/>
                                  <w:marBottom w:val="0"/>
                                  <w:divBdr>
                                    <w:top w:val="none" w:sz="0" w:space="0" w:color="auto"/>
                                    <w:left w:val="none" w:sz="0" w:space="0" w:color="auto"/>
                                    <w:bottom w:val="none" w:sz="0" w:space="0" w:color="auto"/>
                                    <w:right w:val="none" w:sz="0" w:space="0" w:color="auto"/>
                                  </w:divBdr>
                                  <w:divsChild>
                                    <w:div w:id="6215744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297032592">
      <w:bodyDiv w:val="1"/>
      <w:marLeft w:val="0"/>
      <w:marRight w:val="0"/>
      <w:marTop w:val="0"/>
      <w:marBottom w:val="0"/>
      <w:divBdr>
        <w:top w:val="none" w:sz="0" w:space="0" w:color="auto"/>
        <w:left w:val="none" w:sz="0" w:space="0" w:color="auto"/>
        <w:bottom w:val="none" w:sz="0" w:space="0" w:color="auto"/>
        <w:right w:val="none" w:sz="0" w:space="0" w:color="auto"/>
      </w:divBdr>
    </w:div>
    <w:div w:id="1297681916">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03194131">
      <w:bodyDiv w:val="1"/>
      <w:marLeft w:val="0"/>
      <w:marRight w:val="0"/>
      <w:marTop w:val="0"/>
      <w:marBottom w:val="0"/>
      <w:divBdr>
        <w:top w:val="none" w:sz="0" w:space="0" w:color="auto"/>
        <w:left w:val="none" w:sz="0" w:space="0" w:color="auto"/>
        <w:bottom w:val="none" w:sz="0" w:space="0" w:color="auto"/>
        <w:right w:val="none" w:sz="0" w:space="0" w:color="auto"/>
      </w:divBdr>
    </w:div>
    <w:div w:id="1303389012">
      <w:bodyDiv w:val="1"/>
      <w:marLeft w:val="0"/>
      <w:marRight w:val="0"/>
      <w:marTop w:val="0"/>
      <w:marBottom w:val="0"/>
      <w:divBdr>
        <w:top w:val="none" w:sz="0" w:space="0" w:color="auto"/>
        <w:left w:val="none" w:sz="0" w:space="0" w:color="auto"/>
        <w:bottom w:val="none" w:sz="0" w:space="0" w:color="auto"/>
        <w:right w:val="none" w:sz="0" w:space="0" w:color="auto"/>
      </w:divBdr>
    </w:div>
    <w:div w:id="1303920533">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6840467">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26124023">
      <w:bodyDiv w:val="1"/>
      <w:marLeft w:val="0"/>
      <w:marRight w:val="0"/>
      <w:marTop w:val="0"/>
      <w:marBottom w:val="0"/>
      <w:divBdr>
        <w:top w:val="none" w:sz="0" w:space="0" w:color="auto"/>
        <w:left w:val="none" w:sz="0" w:space="0" w:color="auto"/>
        <w:bottom w:val="none" w:sz="0" w:space="0" w:color="auto"/>
        <w:right w:val="none" w:sz="0" w:space="0" w:color="auto"/>
      </w:divBdr>
    </w:div>
    <w:div w:id="1332679220">
      <w:bodyDiv w:val="1"/>
      <w:marLeft w:val="0"/>
      <w:marRight w:val="0"/>
      <w:marTop w:val="0"/>
      <w:marBottom w:val="0"/>
      <w:divBdr>
        <w:top w:val="none" w:sz="0" w:space="0" w:color="auto"/>
        <w:left w:val="none" w:sz="0" w:space="0" w:color="auto"/>
        <w:bottom w:val="none" w:sz="0" w:space="0" w:color="auto"/>
        <w:right w:val="none" w:sz="0" w:space="0" w:color="auto"/>
      </w:divBdr>
    </w:div>
    <w:div w:id="1337339702">
      <w:bodyDiv w:val="1"/>
      <w:marLeft w:val="0"/>
      <w:marRight w:val="0"/>
      <w:marTop w:val="0"/>
      <w:marBottom w:val="0"/>
      <w:divBdr>
        <w:top w:val="none" w:sz="0" w:space="0" w:color="auto"/>
        <w:left w:val="none" w:sz="0" w:space="0" w:color="auto"/>
        <w:bottom w:val="none" w:sz="0" w:space="0" w:color="auto"/>
        <w:right w:val="none" w:sz="0" w:space="0" w:color="auto"/>
      </w:divBdr>
      <w:divsChild>
        <w:div w:id="1034110946">
          <w:marLeft w:val="0"/>
          <w:marRight w:val="0"/>
          <w:marTop w:val="0"/>
          <w:marBottom w:val="0"/>
          <w:divBdr>
            <w:top w:val="none" w:sz="0" w:space="0" w:color="auto"/>
            <w:left w:val="none" w:sz="0" w:space="0" w:color="auto"/>
            <w:bottom w:val="none" w:sz="0" w:space="0" w:color="auto"/>
            <w:right w:val="none" w:sz="0" w:space="0" w:color="auto"/>
          </w:divBdr>
        </w:div>
      </w:divsChild>
    </w:div>
    <w:div w:id="1338776765">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45672251">
      <w:bodyDiv w:val="1"/>
      <w:marLeft w:val="0"/>
      <w:marRight w:val="0"/>
      <w:marTop w:val="0"/>
      <w:marBottom w:val="0"/>
      <w:divBdr>
        <w:top w:val="none" w:sz="0" w:space="0" w:color="auto"/>
        <w:left w:val="none" w:sz="0" w:space="0" w:color="auto"/>
        <w:bottom w:val="none" w:sz="0" w:space="0" w:color="auto"/>
        <w:right w:val="none" w:sz="0" w:space="0" w:color="auto"/>
      </w:divBdr>
    </w:div>
    <w:div w:id="1349527708">
      <w:bodyDiv w:val="1"/>
      <w:marLeft w:val="0"/>
      <w:marRight w:val="0"/>
      <w:marTop w:val="0"/>
      <w:marBottom w:val="0"/>
      <w:divBdr>
        <w:top w:val="none" w:sz="0" w:space="0" w:color="auto"/>
        <w:left w:val="none" w:sz="0" w:space="0" w:color="auto"/>
        <w:bottom w:val="none" w:sz="0" w:space="0" w:color="auto"/>
        <w:right w:val="none" w:sz="0" w:space="0" w:color="auto"/>
      </w:divBdr>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54767185">
      <w:bodyDiv w:val="1"/>
      <w:marLeft w:val="0"/>
      <w:marRight w:val="0"/>
      <w:marTop w:val="0"/>
      <w:marBottom w:val="0"/>
      <w:divBdr>
        <w:top w:val="none" w:sz="0" w:space="0" w:color="auto"/>
        <w:left w:val="none" w:sz="0" w:space="0" w:color="auto"/>
        <w:bottom w:val="none" w:sz="0" w:space="0" w:color="auto"/>
        <w:right w:val="none" w:sz="0" w:space="0" w:color="auto"/>
      </w:divBdr>
    </w:div>
    <w:div w:id="1364475507">
      <w:bodyDiv w:val="1"/>
      <w:marLeft w:val="0"/>
      <w:marRight w:val="0"/>
      <w:marTop w:val="0"/>
      <w:marBottom w:val="0"/>
      <w:divBdr>
        <w:top w:val="none" w:sz="0" w:space="0" w:color="auto"/>
        <w:left w:val="none" w:sz="0" w:space="0" w:color="auto"/>
        <w:bottom w:val="none" w:sz="0" w:space="0" w:color="auto"/>
        <w:right w:val="none" w:sz="0" w:space="0" w:color="auto"/>
      </w:divBdr>
    </w:div>
    <w:div w:id="1369525925">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3380458">
      <w:bodyDiv w:val="1"/>
      <w:marLeft w:val="0"/>
      <w:marRight w:val="0"/>
      <w:marTop w:val="0"/>
      <w:marBottom w:val="0"/>
      <w:divBdr>
        <w:top w:val="none" w:sz="0" w:space="0" w:color="auto"/>
        <w:left w:val="none" w:sz="0" w:space="0" w:color="auto"/>
        <w:bottom w:val="none" w:sz="0" w:space="0" w:color="auto"/>
        <w:right w:val="none" w:sz="0" w:space="0" w:color="auto"/>
      </w:divBdr>
      <w:divsChild>
        <w:div w:id="409232242">
          <w:marLeft w:val="0"/>
          <w:marRight w:val="0"/>
          <w:marTop w:val="0"/>
          <w:marBottom w:val="0"/>
          <w:divBdr>
            <w:top w:val="none" w:sz="0" w:space="0" w:color="auto"/>
            <w:left w:val="none" w:sz="0" w:space="0" w:color="auto"/>
            <w:bottom w:val="none" w:sz="0" w:space="0" w:color="auto"/>
            <w:right w:val="none" w:sz="0" w:space="0" w:color="auto"/>
          </w:divBdr>
          <w:divsChild>
            <w:div w:id="68965898">
              <w:marLeft w:val="0"/>
              <w:marRight w:val="0"/>
              <w:marTop w:val="0"/>
              <w:marBottom w:val="0"/>
              <w:divBdr>
                <w:top w:val="none" w:sz="0" w:space="0" w:color="auto"/>
                <w:left w:val="none" w:sz="0" w:space="0" w:color="auto"/>
                <w:bottom w:val="none" w:sz="0" w:space="0" w:color="auto"/>
                <w:right w:val="none" w:sz="0" w:space="0" w:color="auto"/>
              </w:divBdr>
            </w:div>
            <w:div w:id="133570354">
              <w:marLeft w:val="0"/>
              <w:marRight w:val="0"/>
              <w:marTop w:val="0"/>
              <w:marBottom w:val="120"/>
              <w:divBdr>
                <w:top w:val="none" w:sz="0" w:space="0" w:color="auto"/>
                <w:left w:val="none" w:sz="0" w:space="0" w:color="auto"/>
                <w:bottom w:val="none" w:sz="0" w:space="0" w:color="auto"/>
                <w:right w:val="none" w:sz="0" w:space="0" w:color="auto"/>
              </w:divBdr>
            </w:div>
            <w:div w:id="600341383">
              <w:marLeft w:val="0"/>
              <w:marRight w:val="0"/>
              <w:marTop w:val="0"/>
              <w:marBottom w:val="48"/>
              <w:divBdr>
                <w:top w:val="none" w:sz="0" w:space="0" w:color="auto"/>
                <w:left w:val="none" w:sz="0" w:space="0" w:color="auto"/>
                <w:bottom w:val="none" w:sz="0" w:space="0" w:color="auto"/>
                <w:right w:val="none" w:sz="0" w:space="0" w:color="auto"/>
              </w:divBdr>
            </w:div>
            <w:div w:id="1569807033">
              <w:marLeft w:val="0"/>
              <w:marRight w:val="0"/>
              <w:marTop w:val="0"/>
              <w:marBottom w:val="180"/>
              <w:divBdr>
                <w:top w:val="none" w:sz="0" w:space="0" w:color="auto"/>
                <w:left w:val="none" w:sz="0" w:space="0" w:color="auto"/>
                <w:bottom w:val="none" w:sz="0" w:space="0" w:color="auto"/>
                <w:right w:val="none" w:sz="0" w:space="0" w:color="auto"/>
              </w:divBdr>
            </w:div>
            <w:div w:id="1678459746">
              <w:marLeft w:val="0"/>
              <w:marRight w:val="0"/>
              <w:marTop w:val="0"/>
              <w:marBottom w:val="0"/>
              <w:divBdr>
                <w:top w:val="none" w:sz="0" w:space="0" w:color="auto"/>
                <w:left w:val="none" w:sz="0" w:space="0" w:color="auto"/>
                <w:bottom w:val="none" w:sz="0" w:space="0" w:color="auto"/>
                <w:right w:val="none" w:sz="0" w:space="0" w:color="auto"/>
              </w:divBdr>
            </w:div>
          </w:divsChild>
        </w:div>
        <w:div w:id="610622912">
          <w:marLeft w:val="0"/>
          <w:marRight w:val="0"/>
          <w:marTop w:val="0"/>
          <w:marBottom w:val="0"/>
          <w:divBdr>
            <w:top w:val="none" w:sz="0" w:space="0" w:color="auto"/>
            <w:left w:val="none" w:sz="0" w:space="0" w:color="auto"/>
            <w:bottom w:val="none" w:sz="0" w:space="0" w:color="auto"/>
            <w:right w:val="none" w:sz="0" w:space="0" w:color="auto"/>
          </w:divBdr>
        </w:div>
        <w:div w:id="1113859463">
          <w:marLeft w:val="0"/>
          <w:marRight w:val="0"/>
          <w:marTop w:val="0"/>
          <w:marBottom w:val="0"/>
          <w:divBdr>
            <w:top w:val="none" w:sz="0" w:space="0" w:color="auto"/>
            <w:left w:val="none" w:sz="0" w:space="0" w:color="auto"/>
            <w:bottom w:val="none" w:sz="0" w:space="0" w:color="auto"/>
            <w:right w:val="none" w:sz="0" w:space="0" w:color="auto"/>
          </w:divBdr>
          <w:divsChild>
            <w:div w:id="313723149">
              <w:marLeft w:val="0"/>
              <w:marRight w:val="0"/>
              <w:marTop w:val="0"/>
              <w:marBottom w:val="0"/>
              <w:divBdr>
                <w:top w:val="none" w:sz="0" w:space="0" w:color="auto"/>
                <w:left w:val="none" w:sz="0" w:space="0" w:color="auto"/>
                <w:bottom w:val="none" w:sz="0" w:space="0" w:color="auto"/>
                <w:right w:val="none" w:sz="0" w:space="0" w:color="auto"/>
              </w:divBdr>
              <w:divsChild>
                <w:div w:id="521210128">
                  <w:marLeft w:val="0"/>
                  <w:marRight w:val="0"/>
                  <w:marTop w:val="0"/>
                  <w:marBottom w:val="48"/>
                  <w:divBdr>
                    <w:top w:val="none" w:sz="0" w:space="0" w:color="auto"/>
                    <w:left w:val="none" w:sz="0" w:space="0" w:color="auto"/>
                    <w:bottom w:val="none" w:sz="0" w:space="0" w:color="auto"/>
                    <w:right w:val="none" w:sz="0" w:space="0" w:color="auto"/>
                  </w:divBdr>
                </w:div>
                <w:div w:id="754204810">
                  <w:marLeft w:val="0"/>
                  <w:marRight w:val="0"/>
                  <w:marTop w:val="0"/>
                  <w:marBottom w:val="0"/>
                  <w:divBdr>
                    <w:top w:val="none" w:sz="0" w:space="0" w:color="auto"/>
                    <w:left w:val="none" w:sz="0" w:space="0" w:color="auto"/>
                    <w:bottom w:val="none" w:sz="0" w:space="0" w:color="auto"/>
                    <w:right w:val="none" w:sz="0" w:space="0" w:color="auto"/>
                  </w:divBdr>
                </w:div>
                <w:div w:id="1216429510">
                  <w:marLeft w:val="0"/>
                  <w:marRight w:val="0"/>
                  <w:marTop w:val="0"/>
                  <w:marBottom w:val="0"/>
                  <w:divBdr>
                    <w:top w:val="none" w:sz="0" w:space="0" w:color="auto"/>
                    <w:left w:val="none" w:sz="0" w:space="0" w:color="auto"/>
                    <w:bottom w:val="none" w:sz="0" w:space="0" w:color="auto"/>
                    <w:right w:val="none" w:sz="0" w:space="0" w:color="auto"/>
                  </w:divBdr>
                </w:div>
                <w:div w:id="1225919570">
                  <w:marLeft w:val="0"/>
                  <w:marRight w:val="0"/>
                  <w:marTop w:val="0"/>
                  <w:marBottom w:val="0"/>
                  <w:divBdr>
                    <w:top w:val="none" w:sz="0" w:space="0" w:color="auto"/>
                    <w:left w:val="none" w:sz="0" w:space="0" w:color="auto"/>
                    <w:bottom w:val="none" w:sz="0" w:space="0" w:color="auto"/>
                    <w:right w:val="none" w:sz="0" w:space="0" w:color="auto"/>
                  </w:divBdr>
                </w:div>
                <w:div w:id="1569534039">
                  <w:marLeft w:val="0"/>
                  <w:marRight w:val="0"/>
                  <w:marTop w:val="0"/>
                  <w:marBottom w:val="0"/>
                  <w:divBdr>
                    <w:top w:val="none" w:sz="0" w:space="0" w:color="auto"/>
                    <w:left w:val="none" w:sz="0" w:space="0" w:color="auto"/>
                    <w:bottom w:val="none" w:sz="0" w:space="0" w:color="auto"/>
                    <w:right w:val="none" w:sz="0" w:space="0" w:color="auto"/>
                  </w:divBdr>
                  <w:divsChild>
                    <w:div w:id="338849266">
                      <w:marLeft w:val="0"/>
                      <w:marRight w:val="0"/>
                      <w:marTop w:val="0"/>
                      <w:marBottom w:val="120"/>
                      <w:divBdr>
                        <w:top w:val="none" w:sz="0" w:space="0" w:color="auto"/>
                        <w:left w:val="none" w:sz="0" w:space="0" w:color="auto"/>
                        <w:bottom w:val="none" w:sz="0" w:space="0" w:color="auto"/>
                        <w:right w:val="none" w:sz="0" w:space="0" w:color="auto"/>
                      </w:divBdr>
                    </w:div>
                    <w:div w:id="366686783">
                      <w:marLeft w:val="0"/>
                      <w:marRight w:val="0"/>
                      <w:marTop w:val="0"/>
                      <w:marBottom w:val="0"/>
                      <w:divBdr>
                        <w:top w:val="none" w:sz="0" w:space="0" w:color="auto"/>
                        <w:left w:val="none" w:sz="0" w:space="0" w:color="auto"/>
                        <w:bottom w:val="none" w:sz="0" w:space="0" w:color="auto"/>
                        <w:right w:val="none" w:sz="0" w:space="0" w:color="auto"/>
                      </w:divBdr>
                    </w:div>
                    <w:div w:id="1696662013">
                      <w:marLeft w:val="0"/>
                      <w:marRight w:val="0"/>
                      <w:marTop w:val="0"/>
                      <w:marBottom w:val="0"/>
                      <w:divBdr>
                        <w:top w:val="none" w:sz="0" w:space="0" w:color="auto"/>
                        <w:left w:val="none" w:sz="0" w:space="0" w:color="auto"/>
                        <w:bottom w:val="none" w:sz="0" w:space="0" w:color="auto"/>
                        <w:right w:val="none" w:sz="0" w:space="0" w:color="auto"/>
                      </w:divBdr>
                      <w:divsChild>
                        <w:div w:id="235406539">
                          <w:marLeft w:val="0"/>
                          <w:marRight w:val="0"/>
                          <w:marTop w:val="0"/>
                          <w:marBottom w:val="48"/>
                          <w:divBdr>
                            <w:top w:val="none" w:sz="0" w:space="0" w:color="auto"/>
                            <w:left w:val="none" w:sz="0" w:space="0" w:color="auto"/>
                            <w:bottom w:val="none" w:sz="0" w:space="0" w:color="auto"/>
                            <w:right w:val="none" w:sz="0" w:space="0" w:color="auto"/>
                          </w:divBdr>
                        </w:div>
                        <w:div w:id="419373205">
                          <w:marLeft w:val="0"/>
                          <w:marRight w:val="0"/>
                          <w:marTop w:val="0"/>
                          <w:marBottom w:val="120"/>
                          <w:divBdr>
                            <w:top w:val="none" w:sz="0" w:space="0" w:color="auto"/>
                            <w:left w:val="none" w:sz="0" w:space="0" w:color="auto"/>
                            <w:bottom w:val="none" w:sz="0" w:space="0" w:color="auto"/>
                            <w:right w:val="none" w:sz="0" w:space="0" w:color="auto"/>
                          </w:divBdr>
                          <w:divsChild>
                            <w:div w:id="839731246">
                              <w:marLeft w:val="0"/>
                              <w:marRight w:val="0"/>
                              <w:marTop w:val="0"/>
                              <w:marBottom w:val="72"/>
                              <w:divBdr>
                                <w:top w:val="none" w:sz="0" w:space="0" w:color="auto"/>
                                <w:left w:val="none" w:sz="0" w:space="0" w:color="auto"/>
                                <w:bottom w:val="none" w:sz="0" w:space="0" w:color="auto"/>
                                <w:right w:val="none" w:sz="0" w:space="0" w:color="auto"/>
                              </w:divBdr>
                            </w:div>
                          </w:divsChild>
                        </w:div>
                        <w:div w:id="638921722">
                          <w:marLeft w:val="0"/>
                          <w:marRight w:val="0"/>
                          <w:marTop w:val="0"/>
                          <w:marBottom w:val="0"/>
                          <w:divBdr>
                            <w:top w:val="none" w:sz="0" w:space="0" w:color="auto"/>
                            <w:left w:val="none" w:sz="0" w:space="0" w:color="auto"/>
                            <w:bottom w:val="none" w:sz="0" w:space="0" w:color="auto"/>
                            <w:right w:val="none" w:sz="0" w:space="0" w:color="auto"/>
                          </w:divBdr>
                        </w:div>
                        <w:div w:id="928197605">
                          <w:marLeft w:val="0"/>
                          <w:marRight w:val="0"/>
                          <w:marTop w:val="0"/>
                          <w:marBottom w:val="0"/>
                          <w:divBdr>
                            <w:top w:val="none" w:sz="0" w:space="0" w:color="auto"/>
                            <w:left w:val="none" w:sz="0" w:space="0" w:color="auto"/>
                            <w:bottom w:val="none" w:sz="0" w:space="0" w:color="auto"/>
                            <w:right w:val="none" w:sz="0" w:space="0" w:color="auto"/>
                          </w:divBdr>
                        </w:div>
                        <w:div w:id="1708287119">
                          <w:marLeft w:val="0"/>
                          <w:marRight w:val="0"/>
                          <w:marTop w:val="0"/>
                          <w:marBottom w:val="0"/>
                          <w:divBdr>
                            <w:top w:val="none" w:sz="0" w:space="0" w:color="auto"/>
                            <w:left w:val="none" w:sz="0" w:space="0" w:color="auto"/>
                            <w:bottom w:val="none" w:sz="0" w:space="0" w:color="auto"/>
                            <w:right w:val="none" w:sz="0" w:space="0" w:color="auto"/>
                          </w:divBdr>
                        </w:div>
                        <w:div w:id="1728454594">
                          <w:marLeft w:val="0"/>
                          <w:marRight w:val="0"/>
                          <w:marTop w:val="0"/>
                          <w:marBottom w:val="0"/>
                          <w:divBdr>
                            <w:top w:val="none" w:sz="0" w:space="0" w:color="auto"/>
                            <w:left w:val="none" w:sz="0" w:space="0" w:color="auto"/>
                            <w:bottom w:val="none" w:sz="0" w:space="0" w:color="auto"/>
                            <w:right w:val="none" w:sz="0" w:space="0" w:color="auto"/>
                          </w:divBdr>
                        </w:div>
                        <w:div w:id="1806778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3146028">
                  <w:marLeft w:val="0"/>
                  <w:marRight w:val="0"/>
                  <w:marTop w:val="0"/>
                  <w:marBottom w:val="120"/>
                  <w:divBdr>
                    <w:top w:val="none" w:sz="0" w:space="0" w:color="auto"/>
                    <w:left w:val="none" w:sz="0" w:space="0" w:color="auto"/>
                    <w:bottom w:val="none" w:sz="0" w:space="0" w:color="auto"/>
                    <w:right w:val="none" w:sz="0" w:space="0" w:color="auto"/>
                  </w:divBdr>
                </w:div>
                <w:div w:id="2047094617">
                  <w:marLeft w:val="0"/>
                  <w:marRight w:val="0"/>
                  <w:marTop w:val="0"/>
                  <w:marBottom w:val="180"/>
                  <w:divBdr>
                    <w:top w:val="none" w:sz="0" w:space="0" w:color="auto"/>
                    <w:left w:val="none" w:sz="0" w:space="0" w:color="auto"/>
                    <w:bottom w:val="none" w:sz="0" w:space="0" w:color="auto"/>
                    <w:right w:val="none" w:sz="0" w:space="0" w:color="auto"/>
                  </w:divBdr>
                </w:div>
              </w:divsChild>
            </w:div>
            <w:div w:id="475994477">
              <w:marLeft w:val="0"/>
              <w:marRight w:val="0"/>
              <w:marTop w:val="0"/>
              <w:marBottom w:val="120"/>
              <w:divBdr>
                <w:top w:val="none" w:sz="0" w:space="0" w:color="auto"/>
                <w:left w:val="none" w:sz="0" w:space="0" w:color="auto"/>
                <w:bottom w:val="none" w:sz="0" w:space="0" w:color="auto"/>
                <w:right w:val="none" w:sz="0" w:space="0" w:color="auto"/>
              </w:divBdr>
            </w:div>
            <w:div w:id="513960915">
              <w:marLeft w:val="0"/>
              <w:marRight w:val="0"/>
              <w:marTop w:val="0"/>
              <w:marBottom w:val="180"/>
              <w:divBdr>
                <w:top w:val="none" w:sz="0" w:space="0" w:color="auto"/>
                <w:left w:val="none" w:sz="0" w:space="0" w:color="auto"/>
                <w:bottom w:val="none" w:sz="0" w:space="0" w:color="auto"/>
                <w:right w:val="none" w:sz="0" w:space="0" w:color="auto"/>
              </w:divBdr>
            </w:div>
            <w:div w:id="621114460">
              <w:marLeft w:val="0"/>
              <w:marRight w:val="0"/>
              <w:marTop w:val="0"/>
              <w:marBottom w:val="0"/>
              <w:divBdr>
                <w:top w:val="none" w:sz="0" w:space="0" w:color="auto"/>
                <w:left w:val="none" w:sz="0" w:space="0" w:color="auto"/>
                <w:bottom w:val="none" w:sz="0" w:space="0" w:color="auto"/>
                <w:right w:val="none" w:sz="0" w:space="0" w:color="auto"/>
              </w:divBdr>
            </w:div>
            <w:div w:id="913589446">
              <w:marLeft w:val="0"/>
              <w:marRight w:val="0"/>
              <w:marTop w:val="0"/>
              <w:marBottom w:val="48"/>
              <w:divBdr>
                <w:top w:val="none" w:sz="0" w:space="0" w:color="auto"/>
                <w:left w:val="none" w:sz="0" w:space="0" w:color="auto"/>
                <w:bottom w:val="none" w:sz="0" w:space="0" w:color="auto"/>
                <w:right w:val="none" w:sz="0" w:space="0" w:color="auto"/>
              </w:divBdr>
            </w:div>
            <w:div w:id="1817530227">
              <w:marLeft w:val="0"/>
              <w:marRight w:val="0"/>
              <w:marTop w:val="0"/>
              <w:marBottom w:val="0"/>
              <w:divBdr>
                <w:top w:val="none" w:sz="0" w:space="0" w:color="auto"/>
                <w:left w:val="none" w:sz="0" w:space="0" w:color="auto"/>
                <w:bottom w:val="none" w:sz="0" w:space="0" w:color="auto"/>
                <w:right w:val="none" w:sz="0" w:space="0" w:color="auto"/>
              </w:divBdr>
            </w:div>
            <w:div w:id="1868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83217480">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3046246">
      <w:bodyDiv w:val="1"/>
      <w:marLeft w:val="0"/>
      <w:marRight w:val="0"/>
      <w:marTop w:val="0"/>
      <w:marBottom w:val="0"/>
      <w:divBdr>
        <w:top w:val="none" w:sz="0" w:space="0" w:color="auto"/>
        <w:left w:val="none" w:sz="0" w:space="0" w:color="auto"/>
        <w:bottom w:val="none" w:sz="0" w:space="0" w:color="auto"/>
        <w:right w:val="none" w:sz="0" w:space="0" w:color="auto"/>
      </w:divBdr>
      <w:divsChild>
        <w:div w:id="860321425">
          <w:marLeft w:val="0"/>
          <w:marRight w:val="0"/>
          <w:marTop w:val="0"/>
          <w:marBottom w:val="0"/>
          <w:divBdr>
            <w:top w:val="none" w:sz="0" w:space="0" w:color="auto"/>
            <w:left w:val="none" w:sz="0" w:space="0" w:color="auto"/>
            <w:bottom w:val="none" w:sz="0" w:space="0" w:color="auto"/>
            <w:right w:val="none" w:sz="0" w:space="0" w:color="auto"/>
          </w:divBdr>
        </w:div>
      </w:divsChild>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1707131">
      <w:bodyDiv w:val="1"/>
      <w:marLeft w:val="0"/>
      <w:marRight w:val="0"/>
      <w:marTop w:val="0"/>
      <w:marBottom w:val="0"/>
      <w:divBdr>
        <w:top w:val="none" w:sz="0" w:space="0" w:color="auto"/>
        <w:left w:val="none" w:sz="0" w:space="0" w:color="auto"/>
        <w:bottom w:val="none" w:sz="0" w:space="0" w:color="auto"/>
        <w:right w:val="none" w:sz="0" w:space="0" w:color="auto"/>
      </w:divBdr>
      <w:divsChild>
        <w:div w:id="1546258591">
          <w:marLeft w:val="0"/>
          <w:marRight w:val="0"/>
          <w:marTop w:val="0"/>
          <w:marBottom w:val="0"/>
          <w:divBdr>
            <w:top w:val="none" w:sz="0" w:space="0" w:color="auto"/>
            <w:left w:val="none" w:sz="0" w:space="0" w:color="auto"/>
            <w:bottom w:val="none" w:sz="0" w:space="0" w:color="auto"/>
            <w:right w:val="none" w:sz="0" w:space="0" w:color="auto"/>
          </w:divBdr>
        </w:div>
      </w:divsChild>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7734">
      <w:bodyDiv w:val="1"/>
      <w:marLeft w:val="0"/>
      <w:marRight w:val="0"/>
      <w:marTop w:val="0"/>
      <w:marBottom w:val="0"/>
      <w:divBdr>
        <w:top w:val="none" w:sz="0" w:space="0" w:color="auto"/>
        <w:left w:val="none" w:sz="0" w:space="0" w:color="auto"/>
        <w:bottom w:val="none" w:sz="0" w:space="0" w:color="auto"/>
        <w:right w:val="none" w:sz="0" w:space="0" w:color="auto"/>
      </w:divBdr>
      <w:divsChild>
        <w:div w:id="1864896045">
          <w:marLeft w:val="0"/>
          <w:marRight w:val="0"/>
          <w:marTop w:val="0"/>
          <w:marBottom w:val="0"/>
          <w:divBdr>
            <w:top w:val="none" w:sz="0" w:space="0" w:color="auto"/>
            <w:left w:val="none" w:sz="0" w:space="0" w:color="auto"/>
            <w:bottom w:val="none" w:sz="0" w:space="0" w:color="auto"/>
            <w:right w:val="none" w:sz="0" w:space="0" w:color="auto"/>
          </w:divBdr>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1873939">
      <w:bodyDiv w:val="1"/>
      <w:marLeft w:val="0"/>
      <w:marRight w:val="0"/>
      <w:marTop w:val="0"/>
      <w:marBottom w:val="0"/>
      <w:divBdr>
        <w:top w:val="none" w:sz="0" w:space="0" w:color="auto"/>
        <w:left w:val="none" w:sz="0" w:space="0" w:color="auto"/>
        <w:bottom w:val="none" w:sz="0" w:space="0" w:color="auto"/>
        <w:right w:val="none" w:sz="0" w:space="0" w:color="auto"/>
      </w:divBdr>
    </w:div>
    <w:div w:id="1422680707">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9677">
      <w:bodyDiv w:val="1"/>
      <w:marLeft w:val="0"/>
      <w:marRight w:val="0"/>
      <w:marTop w:val="0"/>
      <w:marBottom w:val="0"/>
      <w:divBdr>
        <w:top w:val="none" w:sz="0" w:space="0" w:color="auto"/>
        <w:left w:val="none" w:sz="0" w:space="0" w:color="auto"/>
        <w:bottom w:val="none" w:sz="0" w:space="0" w:color="auto"/>
        <w:right w:val="none" w:sz="0" w:space="0" w:color="auto"/>
      </w:divBdr>
    </w:div>
    <w:div w:id="1426728467">
      <w:bodyDiv w:val="1"/>
      <w:marLeft w:val="0"/>
      <w:marRight w:val="0"/>
      <w:marTop w:val="0"/>
      <w:marBottom w:val="0"/>
      <w:divBdr>
        <w:top w:val="none" w:sz="0" w:space="0" w:color="auto"/>
        <w:left w:val="none" w:sz="0" w:space="0" w:color="auto"/>
        <w:bottom w:val="none" w:sz="0" w:space="0" w:color="auto"/>
        <w:right w:val="none" w:sz="0" w:space="0" w:color="auto"/>
      </w:divBdr>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27772256">
      <w:bodyDiv w:val="1"/>
      <w:marLeft w:val="0"/>
      <w:marRight w:val="0"/>
      <w:marTop w:val="0"/>
      <w:marBottom w:val="0"/>
      <w:divBdr>
        <w:top w:val="none" w:sz="0" w:space="0" w:color="auto"/>
        <w:left w:val="none" w:sz="0" w:space="0" w:color="auto"/>
        <w:bottom w:val="none" w:sz="0" w:space="0" w:color="auto"/>
        <w:right w:val="none" w:sz="0" w:space="0" w:color="auto"/>
      </w:divBdr>
    </w:div>
    <w:div w:id="1428382416">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44809186">
      <w:bodyDiv w:val="1"/>
      <w:marLeft w:val="0"/>
      <w:marRight w:val="0"/>
      <w:marTop w:val="0"/>
      <w:marBottom w:val="0"/>
      <w:divBdr>
        <w:top w:val="none" w:sz="0" w:space="0" w:color="auto"/>
        <w:left w:val="none" w:sz="0" w:space="0" w:color="auto"/>
        <w:bottom w:val="none" w:sz="0" w:space="0" w:color="auto"/>
        <w:right w:val="none" w:sz="0" w:space="0" w:color="auto"/>
      </w:divBdr>
    </w:div>
    <w:div w:id="1449468213">
      <w:bodyDiv w:val="1"/>
      <w:marLeft w:val="0"/>
      <w:marRight w:val="0"/>
      <w:marTop w:val="0"/>
      <w:marBottom w:val="0"/>
      <w:divBdr>
        <w:top w:val="none" w:sz="0" w:space="0" w:color="auto"/>
        <w:left w:val="none" w:sz="0" w:space="0" w:color="auto"/>
        <w:bottom w:val="none" w:sz="0" w:space="0" w:color="auto"/>
        <w:right w:val="none" w:sz="0" w:space="0" w:color="auto"/>
      </w:divBdr>
    </w:div>
    <w:div w:id="1449547548">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59644482">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475565">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577630">
      <w:bodyDiv w:val="1"/>
      <w:marLeft w:val="0"/>
      <w:marRight w:val="0"/>
      <w:marTop w:val="0"/>
      <w:marBottom w:val="0"/>
      <w:divBdr>
        <w:top w:val="none" w:sz="0" w:space="0" w:color="auto"/>
        <w:left w:val="none" w:sz="0" w:space="0" w:color="auto"/>
        <w:bottom w:val="none" w:sz="0" w:space="0" w:color="auto"/>
        <w:right w:val="none" w:sz="0" w:space="0" w:color="auto"/>
      </w:divBdr>
      <w:divsChild>
        <w:div w:id="151485631">
          <w:marLeft w:val="0"/>
          <w:marRight w:val="0"/>
          <w:marTop w:val="0"/>
          <w:marBottom w:val="0"/>
          <w:divBdr>
            <w:top w:val="none" w:sz="0" w:space="0" w:color="auto"/>
            <w:left w:val="none" w:sz="0" w:space="0" w:color="auto"/>
            <w:bottom w:val="none" w:sz="0" w:space="0" w:color="auto"/>
            <w:right w:val="none" w:sz="0" w:space="0" w:color="auto"/>
          </w:divBdr>
        </w:div>
      </w:divsChild>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5779743">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86707124">
      <w:bodyDiv w:val="1"/>
      <w:marLeft w:val="0"/>
      <w:marRight w:val="0"/>
      <w:marTop w:val="0"/>
      <w:marBottom w:val="0"/>
      <w:divBdr>
        <w:top w:val="none" w:sz="0" w:space="0" w:color="auto"/>
        <w:left w:val="none" w:sz="0" w:space="0" w:color="auto"/>
        <w:bottom w:val="none" w:sz="0" w:space="0" w:color="auto"/>
        <w:right w:val="none" w:sz="0" w:space="0" w:color="auto"/>
      </w:divBdr>
    </w:div>
    <w:div w:id="1489055484">
      <w:bodyDiv w:val="1"/>
      <w:marLeft w:val="0"/>
      <w:marRight w:val="0"/>
      <w:marTop w:val="0"/>
      <w:marBottom w:val="0"/>
      <w:divBdr>
        <w:top w:val="none" w:sz="0" w:space="0" w:color="auto"/>
        <w:left w:val="none" w:sz="0" w:space="0" w:color="auto"/>
        <w:bottom w:val="none" w:sz="0" w:space="0" w:color="auto"/>
        <w:right w:val="none" w:sz="0" w:space="0" w:color="auto"/>
      </w:divBdr>
      <w:divsChild>
        <w:div w:id="83191591">
          <w:marLeft w:val="0"/>
          <w:marRight w:val="0"/>
          <w:marTop w:val="0"/>
          <w:marBottom w:val="0"/>
          <w:divBdr>
            <w:top w:val="none" w:sz="0" w:space="0" w:color="auto"/>
            <w:left w:val="none" w:sz="0" w:space="0" w:color="auto"/>
            <w:bottom w:val="none" w:sz="0" w:space="0" w:color="auto"/>
            <w:right w:val="none" w:sz="0" w:space="0" w:color="auto"/>
          </w:divBdr>
        </w:div>
        <w:div w:id="152335153">
          <w:marLeft w:val="0"/>
          <w:marRight w:val="0"/>
          <w:marTop w:val="0"/>
          <w:marBottom w:val="0"/>
          <w:divBdr>
            <w:top w:val="none" w:sz="0" w:space="0" w:color="auto"/>
            <w:left w:val="none" w:sz="0" w:space="0" w:color="auto"/>
            <w:bottom w:val="none" w:sz="0" w:space="0" w:color="auto"/>
            <w:right w:val="none" w:sz="0" w:space="0" w:color="auto"/>
          </w:divBdr>
        </w:div>
        <w:div w:id="344334138">
          <w:marLeft w:val="0"/>
          <w:marRight w:val="0"/>
          <w:marTop w:val="0"/>
          <w:marBottom w:val="0"/>
          <w:divBdr>
            <w:top w:val="none" w:sz="0" w:space="0" w:color="auto"/>
            <w:left w:val="none" w:sz="0" w:space="0" w:color="auto"/>
            <w:bottom w:val="none" w:sz="0" w:space="0" w:color="auto"/>
            <w:right w:val="none" w:sz="0" w:space="0" w:color="auto"/>
          </w:divBdr>
        </w:div>
        <w:div w:id="357046655">
          <w:marLeft w:val="0"/>
          <w:marRight w:val="0"/>
          <w:marTop w:val="0"/>
          <w:marBottom w:val="0"/>
          <w:divBdr>
            <w:top w:val="none" w:sz="0" w:space="0" w:color="auto"/>
            <w:left w:val="none" w:sz="0" w:space="0" w:color="auto"/>
            <w:bottom w:val="none" w:sz="0" w:space="0" w:color="auto"/>
            <w:right w:val="none" w:sz="0" w:space="0" w:color="auto"/>
          </w:divBdr>
        </w:div>
        <w:div w:id="905724195">
          <w:marLeft w:val="0"/>
          <w:marRight w:val="0"/>
          <w:marTop w:val="0"/>
          <w:marBottom w:val="0"/>
          <w:divBdr>
            <w:top w:val="none" w:sz="0" w:space="0" w:color="auto"/>
            <w:left w:val="none" w:sz="0" w:space="0" w:color="auto"/>
            <w:bottom w:val="none" w:sz="0" w:space="0" w:color="auto"/>
            <w:right w:val="none" w:sz="0" w:space="0" w:color="auto"/>
          </w:divBdr>
        </w:div>
        <w:div w:id="1007252505">
          <w:marLeft w:val="0"/>
          <w:marRight w:val="0"/>
          <w:marTop w:val="0"/>
          <w:marBottom w:val="0"/>
          <w:divBdr>
            <w:top w:val="none" w:sz="0" w:space="0" w:color="auto"/>
            <w:left w:val="none" w:sz="0" w:space="0" w:color="auto"/>
            <w:bottom w:val="none" w:sz="0" w:space="0" w:color="auto"/>
            <w:right w:val="none" w:sz="0" w:space="0" w:color="auto"/>
          </w:divBdr>
        </w:div>
        <w:div w:id="1294017294">
          <w:marLeft w:val="0"/>
          <w:marRight w:val="0"/>
          <w:marTop w:val="0"/>
          <w:marBottom w:val="0"/>
          <w:divBdr>
            <w:top w:val="none" w:sz="0" w:space="0" w:color="auto"/>
            <w:left w:val="none" w:sz="0" w:space="0" w:color="auto"/>
            <w:bottom w:val="none" w:sz="0" w:space="0" w:color="auto"/>
            <w:right w:val="none" w:sz="0" w:space="0" w:color="auto"/>
          </w:divBdr>
        </w:div>
        <w:div w:id="1941182063">
          <w:marLeft w:val="0"/>
          <w:marRight w:val="0"/>
          <w:marTop w:val="0"/>
          <w:marBottom w:val="0"/>
          <w:divBdr>
            <w:top w:val="none" w:sz="0" w:space="0" w:color="auto"/>
            <w:left w:val="none" w:sz="0" w:space="0" w:color="auto"/>
            <w:bottom w:val="none" w:sz="0" w:space="0" w:color="auto"/>
            <w:right w:val="none" w:sz="0" w:space="0" w:color="auto"/>
          </w:divBdr>
        </w:div>
      </w:divsChild>
    </w:div>
    <w:div w:id="1489134995">
      <w:bodyDiv w:val="1"/>
      <w:marLeft w:val="0"/>
      <w:marRight w:val="0"/>
      <w:marTop w:val="0"/>
      <w:marBottom w:val="0"/>
      <w:divBdr>
        <w:top w:val="none" w:sz="0" w:space="0" w:color="auto"/>
        <w:left w:val="none" w:sz="0" w:space="0" w:color="auto"/>
        <w:bottom w:val="none" w:sz="0" w:space="0" w:color="auto"/>
        <w:right w:val="none" w:sz="0" w:space="0" w:color="auto"/>
      </w:divBdr>
    </w:div>
    <w:div w:id="1491363128">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071630">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1238319">
      <w:bodyDiv w:val="1"/>
      <w:marLeft w:val="0"/>
      <w:marRight w:val="0"/>
      <w:marTop w:val="0"/>
      <w:marBottom w:val="0"/>
      <w:divBdr>
        <w:top w:val="none" w:sz="0" w:space="0" w:color="auto"/>
        <w:left w:val="none" w:sz="0" w:space="0" w:color="auto"/>
        <w:bottom w:val="none" w:sz="0" w:space="0" w:color="auto"/>
        <w:right w:val="none" w:sz="0" w:space="0" w:color="auto"/>
      </w:divBdr>
      <w:divsChild>
        <w:div w:id="269512103">
          <w:marLeft w:val="0"/>
          <w:marRight w:val="0"/>
          <w:marTop w:val="0"/>
          <w:marBottom w:val="0"/>
          <w:divBdr>
            <w:top w:val="none" w:sz="0" w:space="0" w:color="auto"/>
            <w:left w:val="none" w:sz="0" w:space="0" w:color="auto"/>
            <w:bottom w:val="none" w:sz="0" w:space="0" w:color="auto"/>
            <w:right w:val="none" w:sz="0" w:space="0" w:color="auto"/>
          </w:divBdr>
        </w:div>
      </w:divsChild>
    </w:div>
    <w:div w:id="1502890000">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06745213">
      <w:bodyDiv w:val="1"/>
      <w:marLeft w:val="0"/>
      <w:marRight w:val="0"/>
      <w:marTop w:val="0"/>
      <w:marBottom w:val="0"/>
      <w:divBdr>
        <w:top w:val="none" w:sz="0" w:space="0" w:color="auto"/>
        <w:left w:val="none" w:sz="0" w:space="0" w:color="auto"/>
        <w:bottom w:val="none" w:sz="0" w:space="0" w:color="auto"/>
        <w:right w:val="none" w:sz="0" w:space="0" w:color="auto"/>
      </w:divBdr>
    </w:div>
    <w:div w:id="1512329264">
      <w:bodyDiv w:val="1"/>
      <w:marLeft w:val="0"/>
      <w:marRight w:val="0"/>
      <w:marTop w:val="0"/>
      <w:marBottom w:val="0"/>
      <w:divBdr>
        <w:top w:val="none" w:sz="0" w:space="0" w:color="auto"/>
        <w:left w:val="none" w:sz="0" w:space="0" w:color="auto"/>
        <w:bottom w:val="none" w:sz="0" w:space="0" w:color="auto"/>
        <w:right w:val="none" w:sz="0" w:space="0" w:color="auto"/>
      </w:divBdr>
    </w:div>
    <w:div w:id="1512452299">
      <w:bodyDiv w:val="1"/>
      <w:marLeft w:val="0"/>
      <w:marRight w:val="0"/>
      <w:marTop w:val="0"/>
      <w:marBottom w:val="0"/>
      <w:divBdr>
        <w:top w:val="none" w:sz="0" w:space="0" w:color="auto"/>
        <w:left w:val="none" w:sz="0" w:space="0" w:color="auto"/>
        <w:bottom w:val="none" w:sz="0" w:space="0" w:color="auto"/>
        <w:right w:val="none" w:sz="0" w:space="0" w:color="auto"/>
      </w:divBdr>
    </w:div>
    <w:div w:id="1513226883">
      <w:bodyDiv w:val="1"/>
      <w:marLeft w:val="0"/>
      <w:marRight w:val="0"/>
      <w:marTop w:val="0"/>
      <w:marBottom w:val="0"/>
      <w:divBdr>
        <w:top w:val="none" w:sz="0" w:space="0" w:color="auto"/>
        <w:left w:val="none" w:sz="0" w:space="0" w:color="auto"/>
        <w:bottom w:val="none" w:sz="0" w:space="0" w:color="auto"/>
        <w:right w:val="none" w:sz="0" w:space="0" w:color="auto"/>
      </w:divBdr>
    </w:div>
    <w:div w:id="1514104378">
      <w:bodyDiv w:val="1"/>
      <w:marLeft w:val="0"/>
      <w:marRight w:val="0"/>
      <w:marTop w:val="0"/>
      <w:marBottom w:val="0"/>
      <w:divBdr>
        <w:top w:val="none" w:sz="0" w:space="0" w:color="auto"/>
        <w:left w:val="none" w:sz="0" w:space="0" w:color="auto"/>
        <w:bottom w:val="none" w:sz="0" w:space="0" w:color="auto"/>
        <w:right w:val="none" w:sz="0" w:space="0" w:color="auto"/>
      </w:divBdr>
    </w:div>
    <w:div w:id="1514684232">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757960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19925088">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3477703">
      <w:bodyDiv w:val="1"/>
      <w:marLeft w:val="0"/>
      <w:marRight w:val="0"/>
      <w:marTop w:val="0"/>
      <w:marBottom w:val="0"/>
      <w:divBdr>
        <w:top w:val="none" w:sz="0" w:space="0" w:color="auto"/>
        <w:left w:val="none" w:sz="0" w:space="0" w:color="auto"/>
        <w:bottom w:val="none" w:sz="0" w:space="0" w:color="auto"/>
        <w:right w:val="none" w:sz="0" w:space="0" w:color="auto"/>
      </w:divBdr>
    </w:div>
    <w:div w:id="1524126666">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28369258">
      <w:bodyDiv w:val="1"/>
      <w:marLeft w:val="0"/>
      <w:marRight w:val="0"/>
      <w:marTop w:val="0"/>
      <w:marBottom w:val="0"/>
      <w:divBdr>
        <w:top w:val="none" w:sz="0" w:space="0" w:color="auto"/>
        <w:left w:val="none" w:sz="0" w:space="0" w:color="auto"/>
        <w:bottom w:val="none" w:sz="0" w:space="0" w:color="auto"/>
        <w:right w:val="none" w:sz="0" w:space="0" w:color="auto"/>
      </w:divBdr>
    </w:div>
    <w:div w:id="1529562822">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38200425">
      <w:bodyDiv w:val="1"/>
      <w:marLeft w:val="0"/>
      <w:marRight w:val="0"/>
      <w:marTop w:val="0"/>
      <w:marBottom w:val="0"/>
      <w:divBdr>
        <w:top w:val="none" w:sz="0" w:space="0" w:color="auto"/>
        <w:left w:val="none" w:sz="0" w:space="0" w:color="auto"/>
        <w:bottom w:val="none" w:sz="0" w:space="0" w:color="auto"/>
        <w:right w:val="none" w:sz="0" w:space="0" w:color="auto"/>
      </w:divBdr>
    </w:div>
    <w:div w:id="1540510563">
      <w:bodyDiv w:val="1"/>
      <w:marLeft w:val="0"/>
      <w:marRight w:val="0"/>
      <w:marTop w:val="0"/>
      <w:marBottom w:val="0"/>
      <w:divBdr>
        <w:top w:val="none" w:sz="0" w:space="0" w:color="auto"/>
        <w:left w:val="none" w:sz="0" w:space="0" w:color="auto"/>
        <w:bottom w:val="none" w:sz="0" w:space="0" w:color="auto"/>
        <w:right w:val="none" w:sz="0" w:space="0" w:color="auto"/>
      </w:divBdr>
    </w:div>
    <w:div w:id="1542865898">
      <w:bodyDiv w:val="1"/>
      <w:marLeft w:val="0"/>
      <w:marRight w:val="0"/>
      <w:marTop w:val="0"/>
      <w:marBottom w:val="0"/>
      <w:divBdr>
        <w:top w:val="none" w:sz="0" w:space="0" w:color="auto"/>
        <w:left w:val="none" w:sz="0" w:space="0" w:color="auto"/>
        <w:bottom w:val="none" w:sz="0" w:space="0" w:color="auto"/>
        <w:right w:val="none" w:sz="0" w:space="0" w:color="auto"/>
      </w:divBdr>
    </w:div>
    <w:div w:id="1543135747">
      <w:bodyDiv w:val="1"/>
      <w:marLeft w:val="0"/>
      <w:marRight w:val="0"/>
      <w:marTop w:val="0"/>
      <w:marBottom w:val="0"/>
      <w:divBdr>
        <w:top w:val="none" w:sz="0" w:space="0" w:color="auto"/>
        <w:left w:val="none" w:sz="0" w:space="0" w:color="auto"/>
        <w:bottom w:val="none" w:sz="0" w:space="0" w:color="auto"/>
        <w:right w:val="none" w:sz="0" w:space="0" w:color="auto"/>
      </w:divBdr>
    </w:div>
    <w:div w:id="1543321873">
      <w:bodyDiv w:val="1"/>
      <w:marLeft w:val="0"/>
      <w:marRight w:val="0"/>
      <w:marTop w:val="0"/>
      <w:marBottom w:val="0"/>
      <w:divBdr>
        <w:top w:val="none" w:sz="0" w:space="0" w:color="auto"/>
        <w:left w:val="none" w:sz="0" w:space="0" w:color="auto"/>
        <w:bottom w:val="none" w:sz="0" w:space="0" w:color="auto"/>
        <w:right w:val="none" w:sz="0" w:space="0" w:color="auto"/>
      </w:divBdr>
    </w:div>
    <w:div w:id="1545828754">
      <w:bodyDiv w:val="1"/>
      <w:marLeft w:val="0"/>
      <w:marRight w:val="0"/>
      <w:marTop w:val="0"/>
      <w:marBottom w:val="0"/>
      <w:divBdr>
        <w:top w:val="none" w:sz="0" w:space="0" w:color="auto"/>
        <w:left w:val="none" w:sz="0" w:space="0" w:color="auto"/>
        <w:bottom w:val="none" w:sz="0" w:space="0" w:color="auto"/>
        <w:right w:val="none" w:sz="0" w:space="0" w:color="auto"/>
      </w:divBdr>
    </w:div>
    <w:div w:id="1554927816">
      <w:bodyDiv w:val="1"/>
      <w:marLeft w:val="0"/>
      <w:marRight w:val="0"/>
      <w:marTop w:val="0"/>
      <w:marBottom w:val="0"/>
      <w:divBdr>
        <w:top w:val="none" w:sz="0" w:space="0" w:color="auto"/>
        <w:left w:val="none" w:sz="0" w:space="0" w:color="auto"/>
        <w:bottom w:val="none" w:sz="0" w:space="0" w:color="auto"/>
        <w:right w:val="none" w:sz="0" w:space="0" w:color="auto"/>
      </w:divBdr>
    </w:div>
    <w:div w:id="1555701496">
      <w:bodyDiv w:val="1"/>
      <w:marLeft w:val="0"/>
      <w:marRight w:val="0"/>
      <w:marTop w:val="0"/>
      <w:marBottom w:val="0"/>
      <w:divBdr>
        <w:top w:val="none" w:sz="0" w:space="0" w:color="auto"/>
        <w:left w:val="none" w:sz="0" w:space="0" w:color="auto"/>
        <w:bottom w:val="none" w:sz="0" w:space="0" w:color="auto"/>
        <w:right w:val="none" w:sz="0" w:space="0" w:color="auto"/>
      </w:divBdr>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836530">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69803417">
      <w:bodyDiv w:val="1"/>
      <w:marLeft w:val="0"/>
      <w:marRight w:val="0"/>
      <w:marTop w:val="0"/>
      <w:marBottom w:val="0"/>
      <w:divBdr>
        <w:top w:val="none" w:sz="0" w:space="0" w:color="auto"/>
        <w:left w:val="none" w:sz="0" w:space="0" w:color="auto"/>
        <w:bottom w:val="none" w:sz="0" w:space="0" w:color="auto"/>
        <w:right w:val="none" w:sz="0" w:space="0" w:color="auto"/>
      </w:divBdr>
    </w:div>
    <w:div w:id="1571573422">
      <w:bodyDiv w:val="1"/>
      <w:marLeft w:val="0"/>
      <w:marRight w:val="0"/>
      <w:marTop w:val="0"/>
      <w:marBottom w:val="0"/>
      <w:divBdr>
        <w:top w:val="none" w:sz="0" w:space="0" w:color="auto"/>
        <w:left w:val="none" w:sz="0" w:space="0" w:color="auto"/>
        <w:bottom w:val="none" w:sz="0" w:space="0" w:color="auto"/>
        <w:right w:val="none" w:sz="0" w:space="0" w:color="auto"/>
      </w:divBdr>
    </w:div>
    <w:div w:id="1572155506">
      <w:bodyDiv w:val="1"/>
      <w:marLeft w:val="0"/>
      <w:marRight w:val="0"/>
      <w:marTop w:val="0"/>
      <w:marBottom w:val="0"/>
      <w:divBdr>
        <w:top w:val="none" w:sz="0" w:space="0" w:color="auto"/>
        <w:left w:val="none" w:sz="0" w:space="0" w:color="auto"/>
        <w:bottom w:val="none" w:sz="0" w:space="0" w:color="auto"/>
        <w:right w:val="none" w:sz="0" w:space="0" w:color="auto"/>
      </w:divBdr>
    </w:div>
    <w:div w:id="1573199495">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1910950">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84877492">
      <w:bodyDiv w:val="1"/>
      <w:marLeft w:val="0"/>
      <w:marRight w:val="0"/>
      <w:marTop w:val="0"/>
      <w:marBottom w:val="0"/>
      <w:divBdr>
        <w:top w:val="none" w:sz="0" w:space="0" w:color="auto"/>
        <w:left w:val="none" w:sz="0" w:space="0" w:color="auto"/>
        <w:bottom w:val="none" w:sz="0" w:space="0" w:color="auto"/>
        <w:right w:val="none" w:sz="0" w:space="0" w:color="auto"/>
      </w:divBdr>
    </w:div>
    <w:div w:id="1589269644">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3663422">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5935413">
      <w:bodyDiv w:val="1"/>
      <w:marLeft w:val="0"/>
      <w:marRight w:val="0"/>
      <w:marTop w:val="0"/>
      <w:marBottom w:val="0"/>
      <w:divBdr>
        <w:top w:val="none" w:sz="0" w:space="0" w:color="auto"/>
        <w:left w:val="none" w:sz="0" w:space="0" w:color="auto"/>
        <w:bottom w:val="none" w:sz="0" w:space="0" w:color="auto"/>
        <w:right w:val="none" w:sz="0" w:space="0" w:color="auto"/>
      </w:divBdr>
    </w:div>
    <w:div w:id="1596940254">
      <w:bodyDiv w:val="1"/>
      <w:marLeft w:val="0"/>
      <w:marRight w:val="0"/>
      <w:marTop w:val="0"/>
      <w:marBottom w:val="0"/>
      <w:divBdr>
        <w:top w:val="none" w:sz="0" w:space="0" w:color="auto"/>
        <w:left w:val="none" w:sz="0" w:space="0" w:color="auto"/>
        <w:bottom w:val="none" w:sz="0" w:space="0" w:color="auto"/>
        <w:right w:val="none" w:sz="0" w:space="0" w:color="auto"/>
      </w:divBdr>
      <w:divsChild>
        <w:div w:id="276719515">
          <w:marLeft w:val="0"/>
          <w:marRight w:val="0"/>
          <w:marTop w:val="0"/>
          <w:marBottom w:val="0"/>
          <w:divBdr>
            <w:top w:val="none" w:sz="0" w:space="0" w:color="auto"/>
            <w:left w:val="none" w:sz="0" w:space="0" w:color="auto"/>
            <w:bottom w:val="none" w:sz="0" w:space="0" w:color="auto"/>
            <w:right w:val="none" w:sz="0" w:space="0" w:color="auto"/>
          </w:divBdr>
        </w:div>
      </w:divsChild>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3605869">
      <w:bodyDiv w:val="1"/>
      <w:marLeft w:val="0"/>
      <w:marRight w:val="0"/>
      <w:marTop w:val="0"/>
      <w:marBottom w:val="0"/>
      <w:divBdr>
        <w:top w:val="none" w:sz="0" w:space="0" w:color="auto"/>
        <w:left w:val="none" w:sz="0" w:space="0" w:color="auto"/>
        <w:bottom w:val="none" w:sz="0" w:space="0" w:color="auto"/>
        <w:right w:val="none" w:sz="0" w:space="0" w:color="auto"/>
      </w:divBdr>
    </w:div>
    <w:div w:id="1605072994">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09242749">
      <w:bodyDiv w:val="1"/>
      <w:marLeft w:val="0"/>
      <w:marRight w:val="0"/>
      <w:marTop w:val="0"/>
      <w:marBottom w:val="0"/>
      <w:divBdr>
        <w:top w:val="none" w:sz="0" w:space="0" w:color="auto"/>
        <w:left w:val="none" w:sz="0" w:space="0" w:color="auto"/>
        <w:bottom w:val="none" w:sz="0" w:space="0" w:color="auto"/>
        <w:right w:val="none" w:sz="0" w:space="0" w:color="auto"/>
      </w:divBdr>
      <w:divsChild>
        <w:div w:id="19163871">
          <w:marLeft w:val="0"/>
          <w:marRight w:val="0"/>
          <w:marTop w:val="0"/>
          <w:marBottom w:val="0"/>
          <w:divBdr>
            <w:top w:val="none" w:sz="0" w:space="0" w:color="auto"/>
            <w:left w:val="none" w:sz="0" w:space="0" w:color="auto"/>
            <w:bottom w:val="none" w:sz="0" w:space="0" w:color="auto"/>
            <w:right w:val="none" w:sz="0" w:space="0" w:color="auto"/>
          </w:divBdr>
        </w:div>
        <w:div w:id="166478266">
          <w:marLeft w:val="0"/>
          <w:marRight w:val="0"/>
          <w:marTop w:val="0"/>
          <w:marBottom w:val="0"/>
          <w:divBdr>
            <w:top w:val="none" w:sz="0" w:space="0" w:color="auto"/>
            <w:left w:val="none" w:sz="0" w:space="0" w:color="auto"/>
            <w:bottom w:val="none" w:sz="0" w:space="0" w:color="auto"/>
            <w:right w:val="none" w:sz="0" w:space="0" w:color="auto"/>
          </w:divBdr>
        </w:div>
        <w:div w:id="175657612">
          <w:marLeft w:val="0"/>
          <w:marRight w:val="0"/>
          <w:marTop w:val="0"/>
          <w:marBottom w:val="0"/>
          <w:divBdr>
            <w:top w:val="none" w:sz="0" w:space="0" w:color="auto"/>
            <w:left w:val="none" w:sz="0" w:space="0" w:color="auto"/>
            <w:bottom w:val="none" w:sz="0" w:space="0" w:color="auto"/>
            <w:right w:val="none" w:sz="0" w:space="0" w:color="auto"/>
          </w:divBdr>
        </w:div>
        <w:div w:id="925580808">
          <w:marLeft w:val="0"/>
          <w:marRight w:val="0"/>
          <w:marTop w:val="0"/>
          <w:marBottom w:val="0"/>
          <w:divBdr>
            <w:top w:val="none" w:sz="0" w:space="0" w:color="auto"/>
            <w:left w:val="none" w:sz="0" w:space="0" w:color="auto"/>
            <w:bottom w:val="none" w:sz="0" w:space="0" w:color="auto"/>
            <w:right w:val="none" w:sz="0" w:space="0" w:color="auto"/>
          </w:divBdr>
        </w:div>
        <w:div w:id="1694112622">
          <w:marLeft w:val="0"/>
          <w:marRight w:val="0"/>
          <w:marTop w:val="0"/>
          <w:marBottom w:val="0"/>
          <w:divBdr>
            <w:top w:val="none" w:sz="0" w:space="0" w:color="auto"/>
            <w:left w:val="none" w:sz="0" w:space="0" w:color="auto"/>
            <w:bottom w:val="none" w:sz="0" w:space="0" w:color="auto"/>
            <w:right w:val="none" w:sz="0" w:space="0" w:color="auto"/>
          </w:divBdr>
        </w:div>
        <w:div w:id="1818646494">
          <w:marLeft w:val="0"/>
          <w:marRight w:val="0"/>
          <w:marTop w:val="0"/>
          <w:marBottom w:val="0"/>
          <w:divBdr>
            <w:top w:val="none" w:sz="0" w:space="0" w:color="auto"/>
            <w:left w:val="none" w:sz="0" w:space="0" w:color="auto"/>
            <w:bottom w:val="none" w:sz="0" w:space="0" w:color="auto"/>
            <w:right w:val="none" w:sz="0" w:space="0" w:color="auto"/>
          </w:divBdr>
        </w:div>
        <w:div w:id="1929998867">
          <w:marLeft w:val="0"/>
          <w:marRight w:val="0"/>
          <w:marTop w:val="0"/>
          <w:marBottom w:val="0"/>
          <w:divBdr>
            <w:top w:val="none" w:sz="0" w:space="0" w:color="auto"/>
            <w:left w:val="none" w:sz="0" w:space="0" w:color="auto"/>
            <w:bottom w:val="none" w:sz="0" w:space="0" w:color="auto"/>
            <w:right w:val="none" w:sz="0" w:space="0" w:color="auto"/>
          </w:divBdr>
        </w:div>
        <w:div w:id="2043549681">
          <w:marLeft w:val="0"/>
          <w:marRight w:val="0"/>
          <w:marTop w:val="0"/>
          <w:marBottom w:val="0"/>
          <w:divBdr>
            <w:top w:val="none" w:sz="0" w:space="0" w:color="auto"/>
            <w:left w:val="none" w:sz="0" w:space="0" w:color="auto"/>
            <w:bottom w:val="none" w:sz="0" w:space="0" w:color="auto"/>
            <w:right w:val="none" w:sz="0" w:space="0" w:color="auto"/>
          </w:divBdr>
        </w:div>
      </w:divsChild>
    </w:div>
    <w:div w:id="1617518779">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33093261">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431656">
      <w:bodyDiv w:val="1"/>
      <w:marLeft w:val="0"/>
      <w:marRight w:val="0"/>
      <w:marTop w:val="0"/>
      <w:marBottom w:val="0"/>
      <w:divBdr>
        <w:top w:val="none" w:sz="0" w:space="0" w:color="auto"/>
        <w:left w:val="none" w:sz="0" w:space="0" w:color="auto"/>
        <w:bottom w:val="none" w:sz="0" w:space="0" w:color="auto"/>
        <w:right w:val="none" w:sz="0" w:space="0" w:color="auto"/>
      </w:divBdr>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51866976">
      <w:bodyDiv w:val="1"/>
      <w:marLeft w:val="0"/>
      <w:marRight w:val="0"/>
      <w:marTop w:val="0"/>
      <w:marBottom w:val="0"/>
      <w:divBdr>
        <w:top w:val="none" w:sz="0" w:space="0" w:color="auto"/>
        <w:left w:val="none" w:sz="0" w:space="0" w:color="auto"/>
        <w:bottom w:val="none" w:sz="0" w:space="0" w:color="auto"/>
        <w:right w:val="none" w:sz="0" w:space="0" w:color="auto"/>
      </w:divBdr>
    </w:div>
    <w:div w:id="1655987543">
      <w:bodyDiv w:val="1"/>
      <w:marLeft w:val="0"/>
      <w:marRight w:val="0"/>
      <w:marTop w:val="0"/>
      <w:marBottom w:val="0"/>
      <w:divBdr>
        <w:top w:val="none" w:sz="0" w:space="0" w:color="auto"/>
        <w:left w:val="none" w:sz="0" w:space="0" w:color="auto"/>
        <w:bottom w:val="none" w:sz="0" w:space="0" w:color="auto"/>
        <w:right w:val="none" w:sz="0" w:space="0" w:color="auto"/>
      </w:divBdr>
    </w:div>
    <w:div w:id="1659378206">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0890016">
      <w:bodyDiv w:val="1"/>
      <w:marLeft w:val="0"/>
      <w:marRight w:val="0"/>
      <w:marTop w:val="0"/>
      <w:marBottom w:val="0"/>
      <w:divBdr>
        <w:top w:val="none" w:sz="0" w:space="0" w:color="auto"/>
        <w:left w:val="none" w:sz="0" w:space="0" w:color="auto"/>
        <w:bottom w:val="none" w:sz="0" w:space="0" w:color="auto"/>
        <w:right w:val="none" w:sz="0" w:space="0" w:color="auto"/>
      </w:divBdr>
      <w:divsChild>
        <w:div w:id="390233899">
          <w:marLeft w:val="0"/>
          <w:marRight w:val="0"/>
          <w:marTop w:val="0"/>
          <w:marBottom w:val="0"/>
          <w:divBdr>
            <w:top w:val="none" w:sz="0" w:space="0" w:color="auto"/>
            <w:left w:val="none" w:sz="0" w:space="0" w:color="auto"/>
            <w:bottom w:val="none" w:sz="0" w:space="0" w:color="auto"/>
            <w:right w:val="none" w:sz="0" w:space="0" w:color="auto"/>
          </w:divBdr>
        </w:div>
        <w:div w:id="536507790">
          <w:marLeft w:val="0"/>
          <w:marRight w:val="0"/>
          <w:marTop w:val="0"/>
          <w:marBottom w:val="0"/>
          <w:divBdr>
            <w:top w:val="none" w:sz="0" w:space="0" w:color="auto"/>
            <w:left w:val="none" w:sz="0" w:space="0" w:color="auto"/>
            <w:bottom w:val="none" w:sz="0" w:space="0" w:color="auto"/>
            <w:right w:val="none" w:sz="0" w:space="0" w:color="auto"/>
          </w:divBdr>
        </w:div>
        <w:div w:id="598099631">
          <w:marLeft w:val="0"/>
          <w:marRight w:val="0"/>
          <w:marTop w:val="0"/>
          <w:marBottom w:val="0"/>
          <w:divBdr>
            <w:top w:val="none" w:sz="0" w:space="0" w:color="auto"/>
            <w:left w:val="none" w:sz="0" w:space="0" w:color="auto"/>
            <w:bottom w:val="none" w:sz="0" w:space="0" w:color="auto"/>
            <w:right w:val="none" w:sz="0" w:space="0" w:color="auto"/>
          </w:divBdr>
        </w:div>
        <w:div w:id="928662590">
          <w:marLeft w:val="0"/>
          <w:marRight w:val="0"/>
          <w:marTop w:val="0"/>
          <w:marBottom w:val="0"/>
          <w:divBdr>
            <w:top w:val="none" w:sz="0" w:space="0" w:color="auto"/>
            <w:left w:val="none" w:sz="0" w:space="0" w:color="auto"/>
            <w:bottom w:val="none" w:sz="0" w:space="0" w:color="auto"/>
            <w:right w:val="none" w:sz="0" w:space="0" w:color="auto"/>
          </w:divBdr>
        </w:div>
        <w:div w:id="1024019762">
          <w:marLeft w:val="0"/>
          <w:marRight w:val="0"/>
          <w:marTop w:val="0"/>
          <w:marBottom w:val="0"/>
          <w:divBdr>
            <w:top w:val="none" w:sz="0" w:space="0" w:color="auto"/>
            <w:left w:val="none" w:sz="0" w:space="0" w:color="auto"/>
            <w:bottom w:val="none" w:sz="0" w:space="0" w:color="auto"/>
            <w:right w:val="none" w:sz="0" w:space="0" w:color="auto"/>
          </w:divBdr>
        </w:div>
        <w:div w:id="1989438996">
          <w:marLeft w:val="0"/>
          <w:marRight w:val="0"/>
          <w:marTop w:val="0"/>
          <w:marBottom w:val="0"/>
          <w:divBdr>
            <w:top w:val="none" w:sz="0" w:space="0" w:color="auto"/>
            <w:left w:val="none" w:sz="0" w:space="0" w:color="auto"/>
            <w:bottom w:val="none" w:sz="0" w:space="0" w:color="auto"/>
            <w:right w:val="none" w:sz="0" w:space="0" w:color="auto"/>
          </w:divBdr>
        </w:div>
      </w:divsChild>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67440159">
      <w:bodyDiv w:val="1"/>
      <w:marLeft w:val="0"/>
      <w:marRight w:val="0"/>
      <w:marTop w:val="0"/>
      <w:marBottom w:val="0"/>
      <w:divBdr>
        <w:top w:val="none" w:sz="0" w:space="0" w:color="auto"/>
        <w:left w:val="none" w:sz="0" w:space="0" w:color="auto"/>
        <w:bottom w:val="none" w:sz="0" w:space="0" w:color="auto"/>
        <w:right w:val="none" w:sz="0" w:space="0" w:color="auto"/>
      </w:divBdr>
    </w:div>
    <w:div w:id="167244374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73222869">
      <w:bodyDiv w:val="1"/>
      <w:marLeft w:val="0"/>
      <w:marRight w:val="0"/>
      <w:marTop w:val="0"/>
      <w:marBottom w:val="0"/>
      <w:divBdr>
        <w:top w:val="none" w:sz="0" w:space="0" w:color="auto"/>
        <w:left w:val="none" w:sz="0" w:space="0" w:color="auto"/>
        <w:bottom w:val="none" w:sz="0" w:space="0" w:color="auto"/>
        <w:right w:val="none" w:sz="0" w:space="0" w:color="auto"/>
      </w:divBdr>
    </w:div>
    <w:div w:id="1673484881">
      <w:bodyDiv w:val="1"/>
      <w:marLeft w:val="0"/>
      <w:marRight w:val="0"/>
      <w:marTop w:val="0"/>
      <w:marBottom w:val="0"/>
      <w:divBdr>
        <w:top w:val="none" w:sz="0" w:space="0" w:color="auto"/>
        <w:left w:val="none" w:sz="0" w:space="0" w:color="auto"/>
        <w:bottom w:val="none" w:sz="0" w:space="0" w:color="auto"/>
        <w:right w:val="none" w:sz="0" w:space="0" w:color="auto"/>
      </w:divBdr>
    </w:div>
    <w:div w:id="1679696461">
      <w:bodyDiv w:val="1"/>
      <w:marLeft w:val="0"/>
      <w:marRight w:val="0"/>
      <w:marTop w:val="0"/>
      <w:marBottom w:val="0"/>
      <w:divBdr>
        <w:top w:val="none" w:sz="0" w:space="0" w:color="auto"/>
        <w:left w:val="none" w:sz="0" w:space="0" w:color="auto"/>
        <w:bottom w:val="none" w:sz="0" w:space="0" w:color="auto"/>
        <w:right w:val="none" w:sz="0" w:space="0" w:color="auto"/>
      </w:divBdr>
    </w:div>
    <w:div w:id="1679768863">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0838697">
      <w:bodyDiv w:val="1"/>
      <w:marLeft w:val="0"/>
      <w:marRight w:val="0"/>
      <w:marTop w:val="0"/>
      <w:marBottom w:val="0"/>
      <w:divBdr>
        <w:top w:val="none" w:sz="0" w:space="0" w:color="auto"/>
        <w:left w:val="none" w:sz="0" w:space="0" w:color="auto"/>
        <w:bottom w:val="none" w:sz="0" w:space="0" w:color="auto"/>
        <w:right w:val="none" w:sz="0" w:space="0" w:color="auto"/>
      </w:divBdr>
    </w:div>
    <w:div w:id="1692488619">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0083867">
      <w:bodyDiv w:val="1"/>
      <w:marLeft w:val="0"/>
      <w:marRight w:val="0"/>
      <w:marTop w:val="0"/>
      <w:marBottom w:val="0"/>
      <w:divBdr>
        <w:top w:val="none" w:sz="0" w:space="0" w:color="auto"/>
        <w:left w:val="none" w:sz="0" w:space="0" w:color="auto"/>
        <w:bottom w:val="none" w:sz="0" w:space="0" w:color="auto"/>
        <w:right w:val="none" w:sz="0" w:space="0" w:color="auto"/>
      </w:divBdr>
    </w:div>
    <w:div w:id="170085796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04791872">
      <w:bodyDiv w:val="1"/>
      <w:marLeft w:val="0"/>
      <w:marRight w:val="0"/>
      <w:marTop w:val="0"/>
      <w:marBottom w:val="0"/>
      <w:divBdr>
        <w:top w:val="none" w:sz="0" w:space="0" w:color="auto"/>
        <w:left w:val="none" w:sz="0" w:space="0" w:color="auto"/>
        <w:bottom w:val="none" w:sz="0" w:space="0" w:color="auto"/>
        <w:right w:val="none" w:sz="0" w:space="0" w:color="auto"/>
      </w:divBdr>
      <w:divsChild>
        <w:div w:id="1433546231">
          <w:marLeft w:val="0"/>
          <w:marRight w:val="0"/>
          <w:marTop w:val="0"/>
          <w:marBottom w:val="0"/>
          <w:divBdr>
            <w:top w:val="none" w:sz="0" w:space="0" w:color="auto"/>
            <w:left w:val="none" w:sz="0" w:space="0" w:color="auto"/>
            <w:bottom w:val="none" w:sz="0" w:space="0" w:color="auto"/>
            <w:right w:val="none" w:sz="0" w:space="0" w:color="auto"/>
          </w:divBdr>
          <w:divsChild>
            <w:div w:id="251398390">
              <w:marLeft w:val="780"/>
              <w:marRight w:val="240"/>
              <w:marTop w:val="180"/>
              <w:marBottom w:val="0"/>
              <w:divBdr>
                <w:top w:val="none" w:sz="0" w:space="0" w:color="auto"/>
                <w:left w:val="none" w:sz="0" w:space="0" w:color="auto"/>
                <w:bottom w:val="none" w:sz="0" w:space="0" w:color="auto"/>
                <w:right w:val="none" w:sz="0" w:space="0" w:color="auto"/>
              </w:divBdr>
              <w:divsChild>
                <w:div w:id="1086725789">
                  <w:marLeft w:val="0"/>
                  <w:marRight w:val="0"/>
                  <w:marTop w:val="0"/>
                  <w:marBottom w:val="0"/>
                  <w:divBdr>
                    <w:top w:val="none" w:sz="0" w:space="0" w:color="auto"/>
                    <w:left w:val="none" w:sz="0" w:space="0" w:color="auto"/>
                    <w:bottom w:val="none" w:sz="0" w:space="0" w:color="auto"/>
                    <w:right w:val="none" w:sz="0" w:space="0" w:color="auto"/>
                  </w:divBdr>
                  <w:divsChild>
                    <w:div w:id="1369142922">
                      <w:marLeft w:val="0"/>
                      <w:marRight w:val="0"/>
                      <w:marTop w:val="0"/>
                      <w:marBottom w:val="0"/>
                      <w:divBdr>
                        <w:top w:val="none" w:sz="0" w:space="0" w:color="auto"/>
                        <w:left w:val="none" w:sz="0" w:space="0" w:color="auto"/>
                        <w:bottom w:val="none" w:sz="0" w:space="0" w:color="auto"/>
                        <w:right w:val="none" w:sz="0" w:space="0" w:color="auto"/>
                      </w:divBdr>
                      <w:divsChild>
                        <w:div w:id="854079314">
                          <w:marLeft w:val="0"/>
                          <w:marRight w:val="0"/>
                          <w:marTop w:val="0"/>
                          <w:marBottom w:val="0"/>
                          <w:divBdr>
                            <w:top w:val="none" w:sz="0" w:space="0" w:color="auto"/>
                            <w:left w:val="none" w:sz="0" w:space="0" w:color="auto"/>
                            <w:bottom w:val="none" w:sz="0" w:space="0" w:color="auto"/>
                            <w:right w:val="none" w:sz="0" w:space="0" w:color="auto"/>
                          </w:divBdr>
                          <w:divsChild>
                            <w:div w:id="8977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61333">
          <w:marLeft w:val="0"/>
          <w:marRight w:val="0"/>
          <w:marTop w:val="0"/>
          <w:marBottom w:val="0"/>
          <w:divBdr>
            <w:top w:val="none" w:sz="0" w:space="0" w:color="auto"/>
            <w:left w:val="none" w:sz="0" w:space="0" w:color="auto"/>
            <w:bottom w:val="none" w:sz="0" w:space="0" w:color="auto"/>
            <w:right w:val="none" w:sz="0" w:space="0" w:color="auto"/>
          </w:divBdr>
          <w:divsChild>
            <w:div w:id="2006744516">
              <w:marLeft w:val="720"/>
              <w:marRight w:val="0"/>
              <w:marTop w:val="0"/>
              <w:marBottom w:val="0"/>
              <w:divBdr>
                <w:top w:val="none" w:sz="0" w:space="0" w:color="auto"/>
                <w:left w:val="none" w:sz="0" w:space="0" w:color="auto"/>
                <w:bottom w:val="none" w:sz="0" w:space="0" w:color="auto"/>
                <w:right w:val="none" w:sz="0" w:space="0" w:color="auto"/>
              </w:divBdr>
              <w:divsChild>
                <w:div w:id="821848041">
                  <w:marLeft w:val="270"/>
                  <w:marRight w:val="150"/>
                  <w:marTop w:val="0"/>
                  <w:marBottom w:val="0"/>
                  <w:divBdr>
                    <w:top w:val="none" w:sz="0" w:space="0" w:color="auto"/>
                    <w:left w:val="none" w:sz="0" w:space="0" w:color="auto"/>
                    <w:bottom w:val="none" w:sz="0" w:space="0" w:color="auto"/>
                    <w:right w:val="none" w:sz="0" w:space="0" w:color="auto"/>
                  </w:divBdr>
                </w:div>
                <w:div w:id="1729458068">
                  <w:marLeft w:val="0"/>
                  <w:marRight w:val="0"/>
                  <w:marTop w:val="0"/>
                  <w:marBottom w:val="0"/>
                  <w:divBdr>
                    <w:top w:val="none" w:sz="0" w:space="0" w:color="auto"/>
                    <w:left w:val="none" w:sz="0" w:space="0" w:color="auto"/>
                    <w:bottom w:val="none" w:sz="0" w:space="0" w:color="auto"/>
                    <w:right w:val="none" w:sz="0" w:space="0" w:color="auto"/>
                  </w:divBdr>
                  <w:divsChild>
                    <w:div w:id="947157383">
                      <w:marLeft w:val="0"/>
                      <w:marRight w:val="0"/>
                      <w:marTop w:val="0"/>
                      <w:marBottom w:val="0"/>
                      <w:divBdr>
                        <w:top w:val="none" w:sz="0" w:space="0" w:color="auto"/>
                        <w:left w:val="none" w:sz="0" w:space="0" w:color="auto"/>
                        <w:bottom w:val="none" w:sz="0" w:space="0" w:color="auto"/>
                        <w:right w:val="none" w:sz="0" w:space="0" w:color="auto"/>
                      </w:divBdr>
                      <w:divsChild>
                        <w:div w:id="1507666408">
                          <w:marLeft w:val="0"/>
                          <w:marRight w:val="0"/>
                          <w:marTop w:val="0"/>
                          <w:marBottom w:val="0"/>
                          <w:divBdr>
                            <w:top w:val="none" w:sz="0" w:space="0" w:color="auto"/>
                            <w:left w:val="none" w:sz="0" w:space="0" w:color="auto"/>
                            <w:bottom w:val="none" w:sz="0" w:space="0" w:color="auto"/>
                            <w:right w:val="none" w:sz="0" w:space="0" w:color="auto"/>
                          </w:divBdr>
                          <w:divsChild>
                            <w:div w:id="56634487">
                              <w:marLeft w:val="0"/>
                              <w:marRight w:val="0"/>
                              <w:marTop w:val="0"/>
                              <w:marBottom w:val="0"/>
                              <w:divBdr>
                                <w:top w:val="none" w:sz="0" w:space="0" w:color="auto"/>
                                <w:left w:val="none" w:sz="0" w:space="0" w:color="auto"/>
                                <w:bottom w:val="none" w:sz="0" w:space="0" w:color="auto"/>
                                <w:right w:val="none" w:sz="0" w:space="0" w:color="auto"/>
                              </w:divBdr>
                              <w:divsChild>
                                <w:div w:id="1092094430">
                                  <w:marLeft w:val="0"/>
                                  <w:marRight w:val="0"/>
                                  <w:marTop w:val="30"/>
                                  <w:marBottom w:val="0"/>
                                  <w:divBdr>
                                    <w:top w:val="none" w:sz="0" w:space="0" w:color="auto"/>
                                    <w:left w:val="none" w:sz="0" w:space="0" w:color="auto"/>
                                    <w:bottom w:val="none" w:sz="0" w:space="0" w:color="auto"/>
                                    <w:right w:val="none" w:sz="0" w:space="0" w:color="auto"/>
                                  </w:divBdr>
                                  <w:divsChild>
                                    <w:div w:id="3388959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4202">
      <w:bodyDiv w:val="1"/>
      <w:marLeft w:val="0"/>
      <w:marRight w:val="0"/>
      <w:marTop w:val="0"/>
      <w:marBottom w:val="0"/>
      <w:divBdr>
        <w:top w:val="none" w:sz="0" w:space="0" w:color="auto"/>
        <w:left w:val="none" w:sz="0" w:space="0" w:color="auto"/>
        <w:bottom w:val="none" w:sz="0" w:space="0" w:color="auto"/>
        <w:right w:val="none" w:sz="0" w:space="0" w:color="auto"/>
      </w:divBdr>
    </w:div>
    <w:div w:id="170940492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19553370">
      <w:bodyDiv w:val="1"/>
      <w:marLeft w:val="0"/>
      <w:marRight w:val="0"/>
      <w:marTop w:val="0"/>
      <w:marBottom w:val="0"/>
      <w:divBdr>
        <w:top w:val="none" w:sz="0" w:space="0" w:color="auto"/>
        <w:left w:val="none" w:sz="0" w:space="0" w:color="auto"/>
        <w:bottom w:val="none" w:sz="0" w:space="0" w:color="auto"/>
        <w:right w:val="none" w:sz="0" w:space="0" w:color="auto"/>
      </w:divBdr>
    </w:div>
    <w:div w:id="1719629204">
      <w:bodyDiv w:val="1"/>
      <w:marLeft w:val="0"/>
      <w:marRight w:val="0"/>
      <w:marTop w:val="0"/>
      <w:marBottom w:val="0"/>
      <w:divBdr>
        <w:top w:val="none" w:sz="0" w:space="0" w:color="auto"/>
        <w:left w:val="none" w:sz="0" w:space="0" w:color="auto"/>
        <w:bottom w:val="none" w:sz="0" w:space="0" w:color="auto"/>
        <w:right w:val="none" w:sz="0" w:space="0" w:color="auto"/>
      </w:divBdr>
    </w:div>
    <w:div w:id="1722747175">
      <w:bodyDiv w:val="1"/>
      <w:marLeft w:val="0"/>
      <w:marRight w:val="0"/>
      <w:marTop w:val="0"/>
      <w:marBottom w:val="0"/>
      <w:divBdr>
        <w:top w:val="none" w:sz="0" w:space="0" w:color="auto"/>
        <w:left w:val="none" w:sz="0" w:space="0" w:color="auto"/>
        <w:bottom w:val="none" w:sz="0" w:space="0" w:color="auto"/>
        <w:right w:val="none" w:sz="0" w:space="0" w:color="auto"/>
      </w:divBdr>
      <w:divsChild>
        <w:div w:id="81538222">
          <w:marLeft w:val="0"/>
          <w:marRight w:val="0"/>
          <w:marTop w:val="0"/>
          <w:marBottom w:val="0"/>
          <w:divBdr>
            <w:top w:val="none" w:sz="0" w:space="0" w:color="auto"/>
            <w:left w:val="none" w:sz="0" w:space="0" w:color="auto"/>
            <w:bottom w:val="none" w:sz="0" w:space="0" w:color="auto"/>
            <w:right w:val="none" w:sz="0" w:space="0" w:color="auto"/>
          </w:divBdr>
          <w:divsChild>
            <w:div w:id="1381171530">
              <w:marLeft w:val="0"/>
              <w:marRight w:val="0"/>
              <w:marTop w:val="0"/>
              <w:marBottom w:val="240"/>
              <w:divBdr>
                <w:top w:val="none" w:sz="0" w:space="0" w:color="auto"/>
                <w:left w:val="none" w:sz="0" w:space="0" w:color="auto"/>
                <w:bottom w:val="none" w:sz="0" w:space="0" w:color="auto"/>
                <w:right w:val="none" w:sz="0" w:space="0" w:color="auto"/>
              </w:divBdr>
            </w:div>
          </w:divsChild>
        </w:div>
        <w:div w:id="286813304">
          <w:marLeft w:val="0"/>
          <w:marRight w:val="0"/>
          <w:marTop w:val="0"/>
          <w:marBottom w:val="0"/>
          <w:divBdr>
            <w:top w:val="none" w:sz="0" w:space="0" w:color="auto"/>
            <w:left w:val="none" w:sz="0" w:space="0" w:color="auto"/>
            <w:bottom w:val="none" w:sz="0" w:space="0" w:color="auto"/>
            <w:right w:val="none" w:sz="0" w:space="0" w:color="auto"/>
          </w:divBdr>
          <w:divsChild>
            <w:div w:id="814837548">
              <w:marLeft w:val="0"/>
              <w:marRight w:val="0"/>
              <w:marTop w:val="0"/>
              <w:marBottom w:val="240"/>
              <w:divBdr>
                <w:top w:val="none" w:sz="0" w:space="0" w:color="auto"/>
                <w:left w:val="none" w:sz="0" w:space="0" w:color="auto"/>
                <w:bottom w:val="none" w:sz="0" w:space="0" w:color="auto"/>
                <w:right w:val="none" w:sz="0" w:space="0" w:color="auto"/>
              </w:divBdr>
            </w:div>
          </w:divsChild>
        </w:div>
        <w:div w:id="538201353">
          <w:marLeft w:val="0"/>
          <w:marRight w:val="0"/>
          <w:marTop w:val="0"/>
          <w:marBottom w:val="0"/>
          <w:divBdr>
            <w:top w:val="none" w:sz="0" w:space="0" w:color="auto"/>
            <w:left w:val="none" w:sz="0" w:space="0" w:color="auto"/>
            <w:bottom w:val="none" w:sz="0" w:space="0" w:color="auto"/>
            <w:right w:val="none" w:sz="0" w:space="0" w:color="auto"/>
          </w:divBdr>
          <w:divsChild>
            <w:div w:id="312148836">
              <w:marLeft w:val="0"/>
              <w:marRight w:val="0"/>
              <w:marTop w:val="0"/>
              <w:marBottom w:val="240"/>
              <w:divBdr>
                <w:top w:val="none" w:sz="0" w:space="0" w:color="auto"/>
                <w:left w:val="none" w:sz="0" w:space="0" w:color="auto"/>
                <w:bottom w:val="none" w:sz="0" w:space="0" w:color="auto"/>
                <w:right w:val="none" w:sz="0" w:space="0" w:color="auto"/>
              </w:divBdr>
            </w:div>
          </w:divsChild>
        </w:div>
        <w:div w:id="1273442368">
          <w:marLeft w:val="0"/>
          <w:marRight w:val="0"/>
          <w:marTop w:val="0"/>
          <w:marBottom w:val="0"/>
          <w:divBdr>
            <w:top w:val="none" w:sz="0" w:space="0" w:color="auto"/>
            <w:left w:val="none" w:sz="0" w:space="0" w:color="auto"/>
            <w:bottom w:val="none" w:sz="0" w:space="0" w:color="auto"/>
            <w:right w:val="none" w:sz="0" w:space="0" w:color="auto"/>
          </w:divBdr>
          <w:divsChild>
            <w:div w:id="383988968">
              <w:marLeft w:val="0"/>
              <w:marRight w:val="0"/>
              <w:marTop w:val="0"/>
              <w:marBottom w:val="240"/>
              <w:divBdr>
                <w:top w:val="none" w:sz="0" w:space="0" w:color="auto"/>
                <w:left w:val="none" w:sz="0" w:space="0" w:color="auto"/>
                <w:bottom w:val="none" w:sz="0" w:space="0" w:color="auto"/>
                <w:right w:val="none" w:sz="0" w:space="0" w:color="auto"/>
              </w:divBdr>
            </w:div>
          </w:divsChild>
        </w:div>
        <w:div w:id="1279602680">
          <w:marLeft w:val="0"/>
          <w:marRight w:val="0"/>
          <w:marTop w:val="0"/>
          <w:marBottom w:val="0"/>
          <w:divBdr>
            <w:top w:val="none" w:sz="0" w:space="0" w:color="auto"/>
            <w:left w:val="none" w:sz="0" w:space="0" w:color="auto"/>
            <w:bottom w:val="none" w:sz="0" w:space="0" w:color="auto"/>
            <w:right w:val="none" w:sz="0" w:space="0" w:color="auto"/>
          </w:divBdr>
          <w:divsChild>
            <w:div w:id="1656372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29112190">
      <w:bodyDiv w:val="1"/>
      <w:marLeft w:val="0"/>
      <w:marRight w:val="0"/>
      <w:marTop w:val="0"/>
      <w:marBottom w:val="0"/>
      <w:divBdr>
        <w:top w:val="none" w:sz="0" w:space="0" w:color="auto"/>
        <w:left w:val="none" w:sz="0" w:space="0" w:color="auto"/>
        <w:bottom w:val="none" w:sz="0" w:space="0" w:color="auto"/>
        <w:right w:val="none" w:sz="0" w:space="0" w:color="auto"/>
      </w:divBdr>
    </w:div>
    <w:div w:id="1729378742">
      <w:bodyDiv w:val="1"/>
      <w:marLeft w:val="0"/>
      <w:marRight w:val="0"/>
      <w:marTop w:val="0"/>
      <w:marBottom w:val="0"/>
      <w:divBdr>
        <w:top w:val="none" w:sz="0" w:space="0" w:color="auto"/>
        <w:left w:val="none" w:sz="0" w:space="0" w:color="auto"/>
        <w:bottom w:val="none" w:sz="0" w:space="0" w:color="auto"/>
        <w:right w:val="none" w:sz="0" w:space="0" w:color="auto"/>
      </w:divBdr>
    </w:div>
    <w:div w:id="1730032430">
      <w:bodyDiv w:val="1"/>
      <w:marLeft w:val="0"/>
      <w:marRight w:val="0"/>
      <w:marTop w:val="0"/>
      <w:marBottom w:val="0"/>
      <w:divBdr>
        <w:top w:val="none" w:sz="0" w:space="0" w:color="auto"/>
        <w:left w:val="none" w:sz="0" w:space="0" w:color="auto"/>
        <w:bottom w:val="none" w:sz="0" w:space="0" w:color="auto"/>
        <w:right w:val="none" w:sz="0" w:space="0" w:color="auto"/>
      </w:divBdr>
    </w:div>
    <w:div w:id="1731806156">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48378351">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3356233">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5662592">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58862006">
      <w:bodyDiv w:val="1"/>
      <w:marLeft w:val="0"/>
      <w:marRight w:val="0"/>
      <w:marTop w:val="0"/>
      <w:marBottom w:val="0"/>
      <w:divBdr>
        <w:top w:val="none" w:sz="0" w:space="0" w:color="auto"/>
        <w:left w:val="none" w:sz="0" w:space="0" w:color="auto"/>
        <w:bottom w:val="none" w:sz="0" w:space="0" w:color="auto"/>
        <w:right w:val="none" w:sz="0" w:space="0" w:color="auto"/>
      </w:divBdr>
    </w:div>
    <w:div w:id="1762794717">
      <w:bodyDiv w:val="1"/>
      <w:marLeft w:val="0"/>
      <w:marRight w:val="0"/>
      <w:marTop w:val="0"/>
      <w:marBottom w:val="0"/>
      <w:divBdr>
        <w:top w:val="none" w:sz="0" w:space="0" w:color="auto"/>
        <w:left w:val="none" w:sz="0" w:space="0" w:color="auto"/>
        <w:bottom w:val="none" w:sz="0" w:space="0" w:color="auto"/>
        <w:right w:val="none" w:sz="0" w:space="0" w:color="auto"/>
      </w:divBdr>
    </w:div>
    <w:div w:id="1763257932">
      <w:bodyDiv w:val="1"/>
      <w:marLeft w:val="0"/>
      <w:marRight w:val="0"/>
      <w:marTop w:val="0"/>
      <w:marBottom w:val="0"/>
      <w:divBdr>
        <w:top w:val="none" w:sz="0" w:space="0" w:color="auto"/>
        <w:left w:val="none" w:sz="0" w:space="0" w:color="auto"/>
        <w:bottom w:val="none" w:sz="0" w:space="0" w:color="auto"/>
        <w:right w:val="none" w:sz="0" w:space="0" w:color="auto"/>
      </w:divBdr>
      <w:divsChild>
        <w:div w:id="1622613100">
          <w:marLeft w:val="0"/>
          <w:marRight w:val="0"/>
          <w:marTop w:val="0"/>
          <w:marBottom w:val="0"/>
          <w:divBdr>
            <w:top w:val="none" w:sz="0" w:space="0" w:color="auto"/>
            <w:left w:val="none" w:sz="0" w:space="0" w:color="auto"/>
            <w:bottom w:val="none" w:sz="0" w:space="0" w:color="auto"/>
            <w:right w:val="none" w:sz="0" w:space="0" w:color="auto"/>
          </w:divBdr>
        </w:div>
      </w:divsChild>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9499126">
      <w:bodyDiv w:val="1"/>
      <w:marLeft w:val="0"/>
      <w:marRight w:val="0"/>
      <w:marTop w:val="0"/>
      <w:marBottom w:val="0"/>
      <w:divBdr>
        <w:top w:val="none" w:sz="0" w:space="0" w:color="auto"/>
        <w:left w:val="none" w:sz="0" w:space="0" w:color="auto"/>
        <w:bottom w:val="none" w:sz="0" w:space="0" w:color="auto"/>
        <w:right w:val="none" w:sz="0" w:space="0" w:color="auto"/>
      </w:divBdr>
    </w:div>
    <w:div w:id="1774012229">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77405259">
      <w:bodyDiv w:val="1"/>
      <w:marLeft w:val="0"/>
      <w:marRight w:val="0"/>
      <w:marTop w:val="0"/>
      <w:marBottom w:val="0"/>
      <w:divBdr>
        <w:top w:val="none" w:sz="0" w:space="0" w:color="auto"/>
        <w:left w:val="none" w:sz="0" w:space="0" w:color="auto"/>
        <w:bottom w:val="none" w:sz="0" w:space="0" w:color="auto"/>
        <w:right w:val="none" w:sz="0" w:space="0" w:color="auto"/>
      </w:divBdr>
    </w:div>
    <w:div w:id="1778452762">
      <w:bodyDiv w:val="1"/>
      <w:marLeft w:val="0"/>
      <w:marRight w:val="0"/>
      <w:marTop w:val="0"/>
      <w:marBottom w:val="0"/>
      <w:divBdr>
        <w:top w:val="none" w:sz="0" w:space="0" w:color="auto"/>
        <w:left w:val="none" w:sz="0" w:space="0" w:color="auto"/>
        <w:bottom w:val="none" w:sz="0" w:space="0" w:color="auto"/>
        <w:right w:val="none" w:sz="0" w:space="0" w:color="auto"/>
      </w:divBdr>
    </w:div>
    <w:div w:id="1779793708">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466204">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0494849">
      <w:bodyDiv w:val="1"/>
      <w:marLeft w:val="0"/>
      <w:marRight w:val="0"/>
      <w:marTop w:val="0"/>
      <w:marBottom w:val="0"/>
      <w:divBdr>
        <w:top w:val="none" w:sz="0" w:space="0" w:color="auto"/>
        <w:left w:val="none" w:sz="0" w:space="0" w:color="auto"/>
        <w:bottom w:val="none" w:sz="0" w:space="0" w:color="auto"/>
        <w:right w:val="none" w:sz="0" w:space="0" w:color="auto"/>
      </w:divBdr>
    </w:div>
    <w:div w:id="1802770691">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3304759">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7166651">
      <w:bodyDiv w:val="1"/>
      <w:marLeft w:val="0"/>
      <w:marRight w:val="0"/>
      <w:marTop w:val="0"/>
      <w:marBottom w:val="0"/>
      <w:divBdr>
        <w:top w:val="none" w:sz="0" w:space="0" w:color="auto"/>
        <w:left w:val="none" w:sz="0" w:space="0" w:color="auto"/>
        <w:bottom w:val="none" w:sz="0" w:space="0" w:color="auto"/>
        <w:right w:val="none" w:sz="0" w:space="0" w:color="auto"/>
      </w:divBdr>
    </w:div>
    <w:div w:id="1808551431">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068207">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184167">
      <w:bodyDiv w:val="1"/>
      <w:marLeft w:val="0"/>
      <w:marRight w:val="0"/>
      <w:marTop w:val="0"/>
      <w:marBottom w:val="0"/>
      <w:divBdr>
        <w:top w:val="none" w:sz="0" w:space="0" w:color="auto"/>
        <w:left w:val="none" w:sz="0" w:space="0" w:color="auto"/>
        <w:bottom w:val="none" w:sz="0" w:space="0" w:color="auto"/>
        <w:right w:val="none" w:sz="0" w:space="0" w:color="auto"/>
      </w:divBdr>
    </w:div>
    <w:div w:id="1818449650">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4159408">
      <w:bodyDiv w:val="1"/>
      <w:marLeft w:val="0"/>
      <w:marRight w:val="0"/>
      <w:marTop w:val="0"/>
      <w:marBottom w:val="0"/>
      <w:divBdr>
        <w:top w:val="none" w:sz="0" w:space="0" w:color="auto"/>
        <w:left w:val="none" w:sz="0" w:space="0" w:color="auto"/>
        <w:bottom w:val="none" w:sz="0" w:space="0" w:color="auto"/>
        <w:right w:val="none" w:sz="0" w:space="0" w:color="auto"/>
      </w:divBdr>
    </w:div>
    <w:div w:id="1825048025">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2453408">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1895210">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56724246">
      <w:bodyDiv w:val="1"/>
      <w:marLeft w:val="0"/>
      <w:marRight w:val="0"/>
      <w:marTop w:val="0"/>
      <w:marBottom w:val="0"/>
      <w:divBdr>
        <w:top w:val="none" w:sz="0" w:space="0" w:color="auto"/>
        <w:left w:val="none" w:sz="0" w:space="0" w:color="auto"/>
        <w:bottom w:val="none" w:sz="0" w:space="0" w:color="auto"/>
        <w:right w:val="none" w:sz="0" w:space="0" w:color="auto"/>
      </w:divBdr>
      <w:divsChild>
        <w:div w:id="2027048859">
          <w:marLeft w:val="0"/>
          <w:marRight w:val="0"/>
          <w:marTop w:val="0"/>
          <w:marBottom w:val="0"/>
          <w:divBdr>
            <w:top w:val="none" w:sz="0" w:space="0" w:color="auto"/>
            <w:left w:val="none" w:sz="0" w:space="0" w:color="auto"/>
            <w:bottom w:val="none" w:sz="0" w:space="0" w:color="auto"/>
            <w:right w:val="none" w:sz="0" w:space="0" w:color="auto"/>
          </w:divBdr>
        </w:div>
        <w:div w:id="210308743">
          <w:marLeft w:val="0"/>
          <w:marRight w:val="0"/>
          <w:marTop w:val="0"/>
          <w:marBottom w:val="0"/>
          <w:divBdr>
            <w:top w:val="none" w:sz="0" w:space="0" w:color="auto"/>
            <w:left w:val="none" w:sz="0" w:space="0" w:color="auto"/>
            <w:bottom w:val="none" w:sz="0" w:space="0" w:color="auto"/>
            <w:right w:val="none" w:sz="0" w:space="0" w:color="auto"/>
          </w:divBdr>
        </w:div>
      </w:divsChild>
    </w:div>
    <w:div w:id="1856725049">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5286290">
      <w:bodyDiv w:val="1"/>
      <w:marLeft w:val="0"/>
      <w:marRight w:val="0"/>
      <w:marTop w:val="0"/>
      <w:marBottom w:val="0"/>
      <w:divBdr>
        <w:top w:val="none" w:sz="0" w:space="0" w:color="auto"/>
        <w:left w:val="none" w:sz="0" w:space="0" w:color="auto"/>
        <w:bottom w:val="none" w:sz="0" w:space="0" w:color="auto"/>
        <w:right w:val="none" w:sz="0" w:space="0" w:color="auto"/>
      </w:divBdr>
    </w:div>
    <w:div w:id="1865558721">
      <w:bodyDiv w:val="1"/>
      <w:marLeft w:val="0"/>
      <w:marRight w:val="0"/>
      <w:marTop w:val="0"/>
      <w:marBottom w:val="0"/>
      <w:divBdr>
        <w:top w:val="none" w:sz="0" w:space="0" w:color="auto"/>
        <w:left w:val="none" w:sz="0" w:space="0" w:color="auto"/>
        <w:bottom w:val="none" w:sz="0" w:space="0" w:color="auto"/>
        <w:right w:val="none" w:sz="0" w:space="0" w:color="auto"/>
      </w:divBdr>
    </w:div>
    <w:div w:id="1873222068">
      <w:bodyDiv w:val="1"/>
      <w:marLeft w:val="0"/>
      <w:marRight w:val="0"/>
      <w:marTop w:val="0"/>
      <w:marBottom w:val="0"/>
      <w:divBdr>
        <w:top w:val="none" w:sz="0" w:space="0" w:color="auto"/>
        <w:left w:val="none" w:sz="0" w:space="0" w:color="auto"/>
        <w:bottom w:val="none" w:sz="0" w:space="0" w:color="auto"/>
        <w:right w:val="none" w:sz="0" w:space="0" w:color="auto"/>
      </w:divBdr>
    </w:div>
    <w:div w:id="1873878193">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6579272">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3228070">
      <w:bodyDiv w:val="1"/>
      <w:marLeft w:val="0"/>
      <w:marRight w:val="0"/>
      <w:marTop w:val="0"/>
      <w:marBottom w:val="0"/>
      <w:divBdr>
        <w:top w:val="none" w:sz="0" w:space="0" w:color="auto"/>
        <w:left w:val="none" w:sz="0" w:space="0" w:color="auto"/>
        <w:bottom w:val="none" w:sz="0" w:space="0" w:color="auto"/>
        <w:right w:val="none" w:sz="0" w:space="0" w:color="auto"/>
      </w:divBdr>
    </w:div>
    <w:div w:id="1894194132">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05215166">
      <w:bodyDiv w:val="1"/>
      <w:marLeft w:val="0"/>
      <w:marRight w:val="0"/>
      <w:marTop w:val="0"/>
      <w:marBottom w:val="0"/>
      <w:divBdr>
        <w:top w:val="none" w:sz="0" w:space="0" w:color="auto"/>
        <w:left w:val="none" w:sz="0" w:space="0" w:color="auto"/>
        <w:bottom w:val="none" w:sz="0" w:space="0" w:color="auto"/>
        <w:right w:val="none" w:sz="0" w:space="0" w:color="auto"/>
      </w:divBdr>
    </w:div>
    <w:div w:id="1909073517">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083586">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548693">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7320619">
      <w:bodyDiv w:val="1"/>
      <w:marLeft w:val="0"/>
      <w:marRight w:val="0"/>
      <w:marTop w:val="0"/>
      <w:marBottom w:val="0"/>
      <w:divBdr>
        <w:top w:val="none" w:sz="0" w:space="0" w:color="auto"/>
        <w:left w:val="none" w:sz="0" w:space="0" w:color="auto"/>
        <w:bottom w:val="none" w:sz="0" w:space="0" w:color="auto"/>
        <w:right w:val="none" w:sz="0" w:space="0" w:color="auto"/>
      </w:divBdr>
    </w:div>
    <w:div w:id="1937512984">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48198483">
      <w:bodyDiv w:val="1"/>
      <w:marLeft w:val="0"/>
      <w:marRight w:val="0"/>
      <w:marTop w:val="0"/>
      <w:marBottom w:val="0"/>
      <w:divBdr>
        <w:top w:val="none" w:sz="0" w:space="0" w:color="auto"/>
        <w:left w:val="none" w:sz="0" w:space="0" w:color="auto"/>
        <w:bottom w:val="none" w:sz="0" w:space="0" w:color="auto"/>
        <w:right w:val="none" w:sz="0" w:space="0" w:color="auto"/>
      </w:divBdr>
    </w:div>
    <w:div w:id="1951400917">
      <w:bodyDiv w:val="1"/>
      <w:marLeft w:val="0"/>
      <w:marRight w:val="0"/>
      <w:marTop w:val="0"/>
      <w:marBottom w:val="0"/>
      <w:divBdr>
        <w:top w:val="none" w:sz="0" w:space="0" w:color="auto"/>
        <w:left w:val="none" w:sz="0" w:space="0" w:color="auto"/>
        <w:bottom w:val="none" w:sz="0" w:space="0" w:color="auto"/>
        <w:right w:val="none" w:sz="0" w:space="0" w:color="auto"/>
      </w:divBdr>
    </w:div>
    <w:div w:id="1954097315">
      <w:bodyDiv w:val="1"/>
      <w:marLeft w:val="0"/>
      <w:marRight w:val="0"/>
      <w:marTop w:val="0"/>
      <w:marBottom w:val="0"/>
      <w:divBdr>
        <w:top w:val="none" w:sz="0" w:space="0" w:color="auto"/>
        <w:left w:val="none" w:sz="0" w:space="0" w:color="auto"/>
        <w:bottom w:val="none" w:sz="0" w:space="0" w:color="auto"/>
        <w:right w:val="none" w:sz="0" w:space="0" w:color="auto"/>
      </w:divBdr>
    </w:div>
    <w:div w:id="1957633831">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59482017">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88319522">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3748733">
      <w:bodyDiv w:val="1"/>
      <w:marLeft w:val="0"/>
      <w:marRight w:val="0"/>
      <w:marTop w:val="0"/>
      <w:marBottom w:val="0"/>
      <w:divBdr>
        <w:top w:val="none" w:sz="0" w:space="0" w:color="auto"/>
        <w:left w:val="none" w:sz="0" w:space="0" w:color="auto"/>
        <w:bottom w:val="none" w:sz="0" w:space="0" w:color="auto"/>
        <w:right w:val="none" w:sz="0" w:space="0" w:color="auto"/>
      </w:divBdr>
    </w:div>
    <w:div w:id="199382686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1998680352">
      <w:bodyDiv w:val="1"/>
      <w:marLeft w:val="0"/>
      <w:marRight w:val="0"/>
      <w:marTop w:val="0"/>
      <w:marBottom w:val="0"/>
      <w:divBdr>
        <w:top w:val="none" w:sz="0" w:space="0" w:color="auto"/>
        <w:left w:val="none" w:sz="0" w:space="0" w:color="auto"/>
        <w:bottom w:val="none" w:sz="0" w:space="0" w:color="auto"/>
        <w:right w:val="none" w:sz="0" w:space="0" w:color="auto"/>
      </w:divBdr>
      <w:divsChild>
        <w:div w:id="414130593">
          <w:marLeft w:val="0"/>
          <w:marRight w:val="0"/>
          <w:marTop w:val="0"/>
          <w:marBottom w:val="0"/>
          <w:divBdr>
            <w:top w:val="none" w:sz="0" w:space="0" w:color="auto"/>
            <w:left w:val="none" w:sz="0" w:space="0" w:color="auto"/>
            <w:bottom w:val="none" w:sz="0" w:space="0" w:color="auto"/>
            <w:right w:val="none" w:sz="0" w:space="0" w:color="auto"/>
          </w:divBdr>
        </w:div>
        <w:div w:id="469904650">
          <w:marLeft w:val="0"/>
          <w:marRight w:val="0"/>
          <w:marTop w:val="0"/>
          <w:marBottom w:val="0"/>
          <w:divBdr>
            <w:top w:val="none" w:sz="0" w:space="0" w:color="auto"/>
            <w:left w:val="none" w:sz="0" w:space="0" w:color="auto"/>
            <w:bottom w:val="none" w:sz="0" w:space="0" w:color="auto"/>
            <w:right w:val="none" w:sz="0" w:space="0" w:color="auto"/>
          </w:divBdr>
        </w:div>
        <w:div w:id="476261353">
          <w:marLeft w:val="0"/>
          <w:marRight w:val="0"/>
          <w:marTop w:val="0"/>
          <w:marBottom w:val="0"/>
          <w:divBdr>
            <w:top w:val="none" w:sz="0" w:space="0" w:color="auto"/>
            <w:left w:val="none" w:sz="0" w:space="0" w:color="auto"/>
            <w:bottom w:val="none" w:sz="0" w:space="0" w:color="auto"/>
            <w:right w:val="none" w:sz="0" w:space="0" w:color="auto"/>
          </w:divBdr>
        </w:div>
        <w:div w:id="535897732">
          <w:marLeft w:val="0"/>
          <w:marRight w:val="0"/>
          <w:marTop w:val="0"/>
          <w:marBottom w:val="0"/>
          <w:divBdr>
            <w:top w:val="none" w:sz="0" w:space="0" w:color="auto"/>
            <w:left w:val="none" w:sz="0" w:space="0" w:color="auto"/>
            <w:bottom w:val="none" w:sz="0" w:space="0" w:color="auto"/>
            <w:right w:val="none" w:sz="0" w:space="0" w:color="auto"/>
          </w:divBdr>
        </w:div>
        <w:div w:id="604046537">
          <w:marLeft w:val="0"/>
          <w:marRight w:val="0"/>
          <w:marTop w:val="0"/>
          <w:marBottom w:val="0"/>
          <w:divBdr>
            <w:top w:val="none" w:sz="0" w:space="0" w:color="auto"/>
            <w:left w:val="none" w:sz="0" w:space="0" w:color="auto"/>
            <w:bottom w:val="none" w:sz="0" w:space="0" w:color="auto"/>
            <w:right w:val="none" w:sz="0" w:space="0" w:color="auto"/>
          </w:divBdr>
        </w:div>
        <w:div w:id="1594170914">
          <w:marLeft w:val="0"/>
          <w:marRight w:val="0"/>
          <w:marTop w:val="0"/>
          <w:marBottom w:val="0"/>
          <w:divBdr>
            <w:top w:val="none" w:sz="0" w:space="0" w:color="auto"/>
            <w:left w:val="none" w:sz="0" w:space="0" w:color="auto"/>
            <w:bottom w:val="none" w:sz="0" w:space="0" w:color="auto"/>
            <w:right w:val="none" w:sz="0" w:space="0" w:color="auto"/>
          </w:divBdr>
        </w:div>
      </w:divsChild>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216791">
      <w:bodyDiv w:val="1"/>
      <w:marLeft w:val="0"/>
      <w:marRight w:val="0"/>
      <w:marTop w:val="0"/>
      <w:marBottom w:val="0"/>
      <w:divBdr>
        <w:top w:val="none" w:sz="0" w:space="0" w:color="auto"/>
        <w:left w:val="none" w:sz="0" w:space="0" w:color="auto"/>
        <w:bottom w:val="none" w:sz="0" w:space="0" w:color="auto"/>
        <w:right w:val="none" w:sz="0" w:space="0" w:color="auto"/>
      </w:divBdr>
    </w:div>
    <w:div w:id="2013874463">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4336231">
      <w:bodyDiv w:val="1"/>
      <w:marLeft w:val="0"/>
      <w:marRight w:val="0"/>
      <w:marTop w:val="0"/>
      <w:marBottom w:val="0"/>
      <w:divBdr>
        <w:top w:val="none" w:sz="0" w:space="0" w:color="auto"/>
        <w:left w:val="none" w:sz="0" w:space="0" w:color="auto"/>
        <w:bottom w:val="none" w:sz="0" w:space="0" w:color="auto"/>
        <w:right w:val="none" w:sz="0" w:space="0" w:color="auto"/>
      </w:divBdr>
    </w:div>
    <w:div w:id="2018118985">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376588626">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1250693890">
          <w:marLeft w:val="0"/>
          <w:marRight w:val="0"/>
          <w:marTop w:val="0"/>
          <w:marBottom w:val="48"/>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3796249">
      <w:bodyDiv w:val="1"/>
      <w:marLeft w:val="0"/>
      <w:marRight w:val="0"/>
      <w:marTop w:val="0"/>
      <w:marBottom w:val="0"/>
      <w:divBdr>
        <w:top w:val="none" w:sz="0" w:space="0" w:color="auto"/>
        <w:left w:val="none" w:sz="0" w:space="0" w:color="auto"/>
        <w:bottom w:val="none" w:sz="0" w:space="0" w:color="auto"/>
        <w:right w:val="none" w:sz="0" w:space="0" w:color="auto"/>
      </w:divBdr>
      <w:divsChild>
        <w:div w:id="343099215">
          <w:marLeft w:val="0"/>
          <w:marRight w:val="0"/>
          <w:marTop w:val="0"/>
          <w:marBottom w:val="0"/>
          <w:divBdr>
            <w:top w:val="none" w:sz="0" w:space="0" w:color="auto"/>
            <w:left w:val="none" w:sz="0" w:space="0" w:color="auto"/>
            <w:bottom w:val="none" w:sz="0" w:space="0" w:color="auto"/>
            <w:right w:val="none" w:sz="0" w:space="0" w:color="auto"/>
          </w:divBdr>
        </w:div>
        <w:div w:id="554975531">
          <w:marLeft w:val="0"/>
          <w:marRight w:val="0"/>
          <w:marTop w:val="0"/>
          <w:marBottom w:val="0"/>
          <w:divBdr>
            <w:top w:val="none" w:sz="0" w:space="0" w:color="auto"/>
            <w:left w:val="none" w:sz="0" w:space="0" w:color="auto"/>
            <w:bottom w:val="none" w:sz="0" w:space="0" w:color="auto"/>
            <w:right w:val="none" w:sz="0" w:space="0" w:color="auto"/>
          </w:divBdr>
        </w:div>
        <w:div w:id="642009651">
          <w:marLeft w:val="0"/>
          <w:marRight w:val="0"/>
          <w:marTop w:val="0"/>
          <w:marBottom w:val="0"/>
          <w:divBdr>
            <w:top w:val="none" w:sz="0" w:space="0" w:color="auto"/>
            <w:left w:val="none" w:sz="0" w:space="0" w:color="auto"/>
            <w:bottom w:val="none" w:sz="0" w:space="0" w:color="auto"/>
            <w:right w:val="none" w:sz="0" w:space="0" w:color="auto"/>
          </w:divBdr>
        </w:div>
        <w:div w:id="788471269">
          <w:marLeft w:val="0"/>
          <w:marRight w:val="0"/>
          <w:marTop w:val="0"/>
          <w:marBottom w:val="0"/>
          <w:divBdr>
            <w:top w:val="none" w:sz="0" w:space="0" w:color="auto"/>
            <w:left w:val="none" w:sz="0" w:space="0" w:color="auto"/>
            <w:bottom w:val="none" w:sz="0" w:space="0" w:color="auto"/>
            <w:right w:val="none" w:sz="0" w:space="0" w:color="auto"/>
          </w:divBdr>
        </w:div>
        <w:div w:id="1055815152">
          <w:marLeft w:val="0"/>
          <w:marRight w:val="0"/>
          <w:marTop w:val="0"/>
          <w:marBottom w:val="0"/>
          <w:divBdr>
            <w:top w:val="none" w:sz="0" w:space="0" w:color="auto"/>
            <w:left w:val="none" w:sz="0" w:space="0" w:color="auto"/>
            <w:bottom w:val="none" w:sz="0" w:space="0" w:color="auto"/>
            <w:right w:val="none" w:sz="0" w:space="0" w:color="auto"/>
          </w:divBdr>
        </w:div>
        <w:div w:id="1687707555">
          <w:marLeft w:val="0"/>
          <w:marRight w:val="0"/>
          <w:marTop w:val="0"/>
          <w:marBottom w:val="0"/>
          <w:divBdr>
            <w:top w:val="none" w:sz="0" w:space="0" w:color="auto"/>
            <w:left w:val="none" w:sz="0" w:space="0" w:color="auto"/>
            <w:bottom w:val="none" w:sz="0" w:space="0" w:color="auto"/>
            <w:right w:val="none" w:sz="0" w:space="0" w:color="auto"/>
          </w:divBdr>
        </w:div>
      </w:divsChild>
    </w:div>
    <w:div w:id="2036345659">
      <w:bodyDiv w:val="1"/>
      <w:marLeft w:val="0"/>
      <w:marRight w:val="0"/>
      <w:marTop w:val="0"/>
      <w:marBottom w:val="0"/>
      <w:divBdr>
        <w:top w:val="none" w:sz="0" w:space="0" w:color="auto"/>
        <w:left w:val="none" w:sz="0" w:space="0" w:color="auto"/>
        <w:bottom w:val="none" w:sz="0" w:space="0" w:color="auto"/>
        <w:right w:val="none" w:sz="0" w:space="0" w:color="auto"/>
      </w:divBdr>
      <w:divsChild>
        <w:div w:id="564145817">
          <w:marLeft w:val="0"/>
          <w:marRight w:val="0"/>
          <w:marTop w:val="0"/>
          <w:marBottom w:val="240"/>
          <w:divBdr>
            <w:top w:val="none" w:sz="0" w:space="0" w:color="auto"/>
            <w:left w:val="none" w:sz="0" w:space="0" w:color="auto"/>
            <w:bottom w:val="none" w:sz="0" w:space="0" w:color="auto"/>
            <w:right w:val="none" w:sz="0" w:space="0" w:color="auto"/>
          </w:divBdr>
        </w:div>
        <w:div w:id="939335529">
          <w:marLeft w:val="0"/>
          <w:marRight w:val="0"/>
          <w:marTop w:val="0"/>
          <w:marBottom w:val="240"/>
          <w:divBdr>
            <w:top w:val="none" w:sz="0" w:space="0" w:color="auto"/>
            <w:left w:val="none" w:sz="0" w:space="0" w:color="auto"/>
            <w:bottom w:val="none" w:sz="0" w:space="0" w:color="auto"/>
            <w:right w:val="none" w:sz="0" w:space="0" w:color="auto"/>
          </w:divBdr>
        </w:div>
        <w:div w:id="433671537">
          <w:marLeft w:val="0"/>
          <w:marRight w:val="0"/>
          <w:marTop w:val="0"/>
          <w:marBottom w:val="240"/>
          <w:divBdr>
            <w:top w:val="none" w:sz="0" w:space="0" w:color="auto"/>
            <w:left w:val="none" w:sz="0" w:space="0" w:color="auto"/>
            <w:bottom w:val="none" w:sz="0" w:space="0" w:color="auto"/>
            <w:right w:val="none" w:sz="0" w:space="0" w:color="auto"/>
          </w:divBdr>
        </w:div>
      </w:divsChild>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5058166">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4470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75736113">
      <w:bodyDiv w:val="1"/>
      <w:marLeft w:val="0"/>
      <w:marRight w:val="0"/>
      <w:marTop w:val="0"/>
      <w:marBottom w:val="0"/>
      <w:divBdr>
        <w:top w:val="none" w:sz="0" w:space="0" w:color="auto"/>
        <w:left w:val="none" w:sz="0" w:space="0" w:color="auto"/>
        <w:bottom w:val="none" w:sz="0" w:space="0" w:color="auto"/>
        <w:right w:val="none" w:sz="0" w:space="0" w:color="auto"/>
      </w:divBdr>
    </w:div>
    <w:div w:id="2078279300">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4719565">
      <w:bodyDiv w:val="1"/>
      <w:marLeft w:val="0"/>
      <w:marRight w:val="0"/>
      <w:marTop w:val="0"/>
      <w:marBottom w:val="0"/>
      <w:divBdr>
        <w:top w:val="none" w:sz="0" w:space="0" w:color="auto"/>
        <w:left w:val="none" w:sz="0" w:space="0" w:color="auto"/>
        <w:bottom w:val="none" w:sz="0" w:space="0" w:color="auto"/>
        <w:right w:val="none" w:sz="0" w:space="0" w:color="auto"/>
      </w:divBdr>
    </w:div>
    <w:div w:id="2085564830">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7654351">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3962019">
      <w:bodyDiv w:val="1"/>
      <w:marLeft w:val="0"/>
      <w:marRight w:val="0"/>
      <w:marTop w:val="0"/>
      <w:marBottom w:val="0"/>
      <w:divBdr>
        <w:top w:val="none" w:sz="0" w:space="0" w:color="auto"/>
        <w:left w:val="none" w:sz="0" w:space="0" w:color="auto"/>
        <w:bottom w:val="none" w:sz="0" w:space="0" w:color="auto"/>
        <w:right w:val="none" w:sz="0" w:space="0" w:color="auto"/>
      </w:divBdr>
      <w:divsChild>
        <w:div w:id="115637607">
          <w:marLeft w:val="0"/>
          <w:marRight w:val="0"/>
          <w:marTop w:val="0"/>
          <w:marBottom w:val="240"/>
          <w:divBdr>
            <w:top w:val="none" w:sz="0" w:space="0" w:color="auto"/>
            <w:left w:val="none" w:sz="0" w:space="0" w:color="auto"/>
            <w:bottom w:val="none" w:sz="0" w:space="0" w:color="auto"/>
            <w:right w:val="none" w:sz="0" w:space="0" w:color="auto"/>
          </w:divBdr>
        </w:div>
        <w:div w:id="271279389">
          <w:marLeft w:val="0"/>
          <w:marRight w:val="0"/>
          <w:marTop w:val="0"/>
          <w:marBottom w:val="240"/>
          <w:divBdr>
            <w:top w:val="none" w:sz="0" w:space="0" w:color="auto"/>
            <w:left w:val="none" w:sz="0" w:space="0" w:color="auto"/>
            <w:bottom w:val="none" w:sz="0" w:space="0" w:color="auto"/>
            <w:right w:val="none" w:sz="0" w:space="0" w:color="auto"/>
          </w:divBdr>
        </w:div>
        <w:div w:id="836306290">
          <w:marLeft w:val="0"/>
          <w:marRight w:val="0"/>
          <w:marTop w:val="0"/>
          <w:marBottom w:val="240"/>
          <w:divBdr>
            <w:top w:val="none" w:sz="0" w:space="0" w:color="auto"/>
            <w:left w:val="none" w:sz="0" w:space="0" w:color="auto"/>
            <w:bottom w:val="none" w:sz="0" w:space="0" w:color="auto"/>
            <w:right w:val="none" w:sz="0" w:space="0" w:color="auto"/>
          </w:divBdr>
        </w:div>
      </w:divsChild>
    </w:div>
    <w:div w:id="2095592984">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12816833">
      <w:bodyDiv w:val="1"/>
      <w:marLeft w:val="0"/>
      <w:marRight w:val="0"/>
      <w:marTop w:val="0"/>
      <w:marBottom w:val="0"/>
      <w:divBdr>
        <w:top w:val="none" w:sz="0" w:space="0" w:color="auto"/>
        <w:left w:val="none" w:sz="0" w:space="0" w:color="auto"/>
        <w:bottom w:val="none" w:sz="0" w:space="0" w:color="auto"/>
        <w:right w:val="none" w:sz="0" w:space="0" w:color="auto"/>
      </w:divBdr>
      <w:divsChild>
        <w:div w:id="1089428890">
          <w:marLeft w:val="0"/>
          <w:marRight w:val="0"/>
          <w:marTop w:val="0"/>
          <w:marBottom w:val="0"/>
          <w:divBdr>
            <w:top w:val="none" w:sz="0" w:space="0" w:color="auto"/>
            <w:left w:val="none" w:sz="0" w:space="0" w:color="auto"/>
            <w:bottom w:val="none" w:sz="0" w:space="0" w:color="auto"/>
            <w:right w:val="none" w:sz="0" w:space="0" w:color="auto"/>
          </w:divBdr>
        </w:div>
      </w:divsChild>
    </w:div>
    <w:div w:id="2114931480">
      <w:bodyDiv w:val="1"/>
      <w:marLeft w:val="0"/>
      <w:marRight w:val="0"/>
      <w:marTop w:val="0"/>
      <w:marBottom w:val="0"/>
      <w:divBdr>
        <w:top w:val="none" w:sz="0" w:space="0" w:color="auto"/>
        <w:left w:val="none" w:sz="0" w:space="0" w:color="auto"/>
        <w:bottom w:val="none" w:sz="0" w:space="0" w:color="auto"/>
        <w:right w:val="none" w:sz="0" w:space="0" w:color="auto"/>
      </w:divBdr>
    </w:div>
    <w:div w:id="2115898560">
      <w:bodyDiv w:val="1"/>
      <w:marLeft w:val="0"/>
      <w:marRight w:val="0"/>
      <w:marTop w:val="0"/>
      <w:marBottom w:val="0"/>
      <w:divBdr>
        <w:top w:val="none" w:sz="0" w:space="0" w:color="auto"/>
        <w:left w:val="none" w:sz="0" w:space="0" w:color="auto"/>
        <w:bottom w:val="none" w:sz="0" w:space="0" w:color="auto"/>
        <w:right w:val="none" w:sz="0" w:space="0" w:color="auto"/>
      </w:divBdr>
    </w:div>
    <w:div w:id="2123838051">
      <w:bodyDiv w:val="1"/>
      <w:marLeft w:val="0"/>
      <w:marRight w:val="0"/>
      <w:marTop w:val="0"/>
      <w:marBottom w:val="0"/>
      <w:divBdr>
        <w:top w:val="none" w:sz="0" w:space="0" w:color="auto"/>
        <w:left w:val="none" w:sz="0" w:space="0" w:color="auto"/>
        <w:bottom w:val="none" w:sz="0" w:space="0" w:color="auto"/>
        <w:right w:val="none" w:sz="0" w:space="0" w:color="auto"/>
      </w:divBdr>
    </w:div>
    <w:div w:id="2125034911">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050271">
      <w:bodyDiv w:val="1"/>
      <w:marLeft w:val="0"/>
      <w:marRight w:val="0"/>
      <w:marTop w:val="0"/>
      <w:marBottom w:val="0"/>
      <w:divBdr>
        <w:top w:val="none" w:sz="0" w:space="0" w:color="auto"/>
        <w:left w:val="none" w:sz="0" w:space="0" w:color="auto"/>
        <w:bottom w:val="none" w:sz="0" w:space="0" w:color="auto"/>
        <w:right w:val="none" w:sz="0" w:space="0" w:color="auto"/>
      </w:divBdr>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39177861">
      <w:bodyDiv w:val="1"/>
      <w:marLeft w:val="0"/>
      <w:marRight w:val="0"/>
      <w:marTop w:val="0"/>
      <w:marBottom w:val="0"/>
      <w:divBdr>
        <w:top w:val="none" w:sz="0" w:space="0" w:color="auto"/>
        <w:left w:val="none" w:sz="0" w:space="0" w:color="auto"/>
        <w:bottom w:val="none" w:sz="0" w:space="0" w:color="auto"/>
        <w:right w:val="none" w:sz="0" w:space="0" w:color="auto"/>
      </w:divBdr>
    </w:div>
    <w:div w:id="2141874962">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40887946/" TargetMode="External"/><Relationship Id="rId18" Type="http://schemas.openxmlformats.org/officeDocument/2006/relationships/hyperlink" Target="https://pubmed.ncbi.nlm.nih.gov/40965833/" TargetMode="External"/><Relationship Id="rId3" Type="http://schemas.openxmlformats.org/officeDocument/2006/relationships/customXml" Target="../customXml/item3.xml"/><Relationship Id="rId21" Type="http://schemas.openxmlformats.org/officeDocument/2006/relationships/hyperlink" Target="https://pubmed.ncbi.nlm.nih.gov/40844120/" TargetMode="External"/><Relationship Id="rId7" Type="http://schemas.openxmlformats.org/officeDocument/2006/relationships/webSettings" Target="webSettings.xml"/><Relationship Id="rId12" Type="http://schemas.openxmlformats.org/officeDocument/2006/relationships/hyperlink" Target="https://pubmed.ncbi.nlm.nih.gov/40887951/" TargetMode="External"/><Relationship Id="rId17" Type="http://schemas.openxmlformats.org/officeDocument/2006/relationships/hyperlink" Target="https://pubmed.ncbi.nlm.nih.gov/40105856/" TargetMode="External"/><Relationship Id="rId2" Type="http://schemas.openxmlformats.org/officeDocument/2006/relationships/customXml" Target="../customXml/item2.xml"/><Relationship Id="rId16" Type="http://schemas.openxmlformats.org/officeDocument/2006/relationships/hyperlink" Target="https://pubmed.ncbi.nlm.nih.gov/40601310/" TargetMode="External"/><Relationship Id="rId20" Type="http://schemas.openxmlformats.org/officeDocument/2006/relationships/hyperlink" Target="https://pubmed.ncbi.nlm.nih.gov/4090060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40886717/"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ubmed.ncbi.nlm.nih.gov/40668551/" TargetMode="External"/><Relationship Id="rId23" Type="http://schemas.openxmlformats.org/officeDocument/2006/relationships/fontTable" Target="fontTable.xml"/><Relationship Id="rId10" Type="http://schemas.openxmlformats.org/officeDocument/2006/relationships/hyperlink" Target="https://pubmed.ncbi.nlm.nih.gov/40902134/" TargetMode="External"/><Relationship Id="rId19" Type="http://schemas.openxmlformats.org/officeDocument/2006/relationships/hyperlink" Target="https://pubmed.ncbi.nlm.nih.gov/40925905/" TargetMode="External"/><Relationship Id="rId4" Type="http://schemas.openxmlformats.org/officeDocument/2006/relationships/numbering" Target="numbering.xml"/><Relationship Id="rId9" Type="http://schemas.openxmlformats.org/officeDocument/2006/relationships/hyperlink" Target="https://pubmed.ncbi.nlm.nih.gov/40853554/" TargetMode="External"/><Relationship Id="rId14" Type="http://schemas.openxmlformats.org/officeDocument/2006/relationships/hyperlink" Target="https://pubmed.ncbi.nlm.nih.gov/40632531/" TargetMode="External"/><Relationship Id="rId22" Type="http://schemas.openxmlformats.org/officeDocument/2006/relationships/hyperlink" Target="https://pubmed.ncbi.nlm.nih.gov/40844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2.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customXml/itemProps3.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8374</Words>
  <Characters>47737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cp:lastPrinted>2025-06-12T23:58:00Z</cp:lastPrinted>
  <dcterms:created xsi:type="dcterms:W3CDTF">2026-03-06T04:35:00Z</dcterms:created>
  <dcterms:modified xsi:type="dcterms:W3CDTF">2026-03-06T04:35:00Z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